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BD40E" w14:textId="7AE80F0A" w:rsidR="00324F34" w:rsidRPr="00324F34" w:rsidRDefault="00324F34" w:rsidP="00DB1284">
      <w:pPr>
        <w:jc w:val="center"/>
      </w:pPr>
      <w:r w:rsidRPr="00324F34">
        <w:rPr>
          <w:noProof/>
        </w:rPr>
        <w:drawing>
          <wp:inline distT="0" distB="0" distL="0" distR="0" wp14:anchorId="628F289E" wp14:editId="267CE860">
            <wp:extent cx="4640580" cy="2240280"/>
            <wp:effectExtent l="0" t="0" r="7620" b="7620"/>
            <wp:docPr id="1089018612" name="Picture 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40580" cy="2240280"/>
                    </a:xfrm>
                    <a:prstGeom prst="rect">
                      <a:avLst/>
                    </a:prstGeom>
                    <a:noFill/>
                    <a:ln>
                      <a:noFill/>
                    </a:ln>
                  </pic:spPr>
                </pic:pic>
              </a:graphicData>
            </a:graphic>
          </wp:inline>
        </w:drawing>
      </w:r>
    </w:p>
    <w:p w14:paraId="603F307A" w14:textId="19AAF4FD" w:rsidR="00324F34" w:rsidRPr="00324F34" w:rsidRDefault="00324F34" w:rsidP="00324F34"/>
    <w:p w14:paraId="7333AC75" w14:textId="77777777" w:rsidR="00324F34" w:rsidRPr="00DB1284" w:rsidRDefault="00324F34" w:rsidP="00324F34">
      <w:pPr>
        <w:rPr>
          <w:b/>
          <w:bCs/>
          <w:sz w:val="40"/>
          <w:szCs w:val="40"/>
        </w:rPr>
      </w:pPr>
      <w:r w:rsidRPr="00DB1284">
        <w:rPr>
          <w:b/>
          <w:bCs/>
          <w:sz w:val="40"/>
          <w:szCs w:val="40"/>
        </w:rPr>
        <w:t>The History of the Canadian 1-Dollar Coin</w:t>
      </w:r>
    </w:p>
    <w:p w14:paraId="1BCE844C" w14:textId="77777777" w:rsidR="00DB1284" w:rsidRDefault="00DB1284" w:rsidP="00324F34">
      <w:r>
        <w:t>By Jim Austin</w:t>
      </w:r>
    </w:p>
    <w:p w14:paraId="206BF32D" w14:textId="5F069D54" w:rsidR="00324F34" w:rsidRPr="00324F34" w:rsidRDefault="00324F34" w:rsidP="00324F34">
      <w:r w:rsidRPr="00324F34">
        <w:t xml:space="preserve">A journey from early experiments and silver dollars through to the iconic </w:t>
      </w:r>
      <w:r w:rsidRPr="00324F34">
        <w:rPr>
          <w:i/>
          <w:iCs/>
        </w:rPr>
        <w:t>Loonie</w:t>
      </w:r>
    </w:p>
    <w:p w14:paraId="685CC3C3" w14:textId="77777777" w:rsidR="00324F34" w:rsidRPr="00324F34" w:rsidRDefault="00324F34" w:rsidP="00324F34">
      <w:r w:rsidRPr="00324F34">
        <w:t xml:space="preserve">The Canadian one-dollar coin has a rich and fascinating history, reflecting changes in economy, technology, and national identity. From early patterns and silver issues to modern circulation coins, this article traces the evolution of Canada’s dollar coin up to the present day — including the rare 1911 silver dollar and the beloved </w:t>
      </w:r>
      <w:r w:rsidRPr="00324F34">
        <w:rPr>
          <w:i/>
          <w:iCs/>
        </w:rPr>
        <w:t>Loonie</w:t>
      </w:r>
      <w:r w:rsidRPr="00324F34">
        <w:t xml:space="preserve"> introduced in 1987.</w:t>
      </w:r>
    </w:p>
    <w:p w14:paraId="49CEF571" w14:textId="5CB616D9" w:rsidR="00324F34" w:rsidRPr="00324F34" w:rsidRDefault="00324F34" w:rsidP="00324F34"/>
    <w:p w14:paraId="23AAD595" w14:textId="77777777" w:rsidR="00324F34" w:rsidRPr="00324F34" w:rsidRDefault="00324F34" w:rsidP="00324F34">
      <w:pPr>
        <w:rPr>
          <w:b/>
          <w:bCs/>
        </w:rPr>
      </w:pPr>
      <w:r w:rsidRPr="00324F34">
        <w:rPr>
          <w:b/>
          <w:bCs/>
        </w:rPr>
        <w:t>Early Currency and Pre-Mint Canadian Dollars</w:t>
      </w:r>
    </w:p>
    <w:p w14:paraId="6BD06D53" w14:textId="77777777" w:rsidR="00324F34" w:rsidRPr="00324F34" w:rsidRDefault="00324F34" w:rsidP="00324F34">
      <w:pPr>
        <w:rPr>
          <w:b/>
          <w:bCs/>
        </w:rPr>
      </w:pPr>
      <w:r w:rsidRPr="00324F34">
        <w:rPr>
          <w:b/>
          <w:bCs/>
        </w:rPr>
        <w:t>Colonial Currency and Foreign Coins</w:t>
      </w:r>
    </w:p>
    <w:p w14:paraId="35FEEBD5" w14:textId="77777777" w:rsidR="00324F34" w:rsidRPr="00324F34" w:rsidRDefault="00324F34" w:rsidP="00324F34">
      <w:r w:rsidRPr="00324F34">
        <w:t>Before Canada had its own widely accepted coinage, a variety of foreign coins circulated in British North America — including Spanish, French, Portuguese, Dutch, German, and U.S. coins — because local supplies of British currency were limited. Merchants and banks often accepted this mix due to practical necessity. (</w:t>
      </w:r>
      <w:hyperlink r:id="rId6" w:tooltip="The 1911 silver dollar - Bank of Canada Museum" w:history="1">
        <w:r w:rsidRPr="00324F34">
          <w:rPr>
            <w:rStyle w:val="Hyperlink"/>
          </w:rPr>
          <w:t>bankofcanadamuseum.ca</w:t>
        </w:r>
      </w:hyperlink>
      <w:r w:rsidRPr="00324F34">
        <w:t>)</w:t>
      </w:r>
    </w:p>
    <w:p w14:paraId="0FAA2CC3" w14:textId="77777777" w:rsidR="00324F34" w:rsidRPr="00324F34" w:rsidRDefault="00324F34" w:rsidP="00324F34">
      <w:pPr>
        <w:rPr>
          <w:b/>
          <w:bCs/>
        </w:rPr>
      </w:pPr>
      <w:r w:rsidRPr="00324F34">
        <w:rPr>
          <w:b/>
          <w:bCs/>
        </w:rPr>
        <w:t>Decimal System and Early Canadian Coinage</w:t>
      </w:r>
    </w:p>
    <w:p w14:paraId="0E83FB47" w14:textId="77777777" w:rsidR="00324F34" w:rsidRPr="00324F34" w:rsidRDefault="00324F34" w:rsidP="00324F34">
      <w:r w:rsidRPr="00324F34">
        <w:t xml:space="preserve">The Province of Canada adopted a decimal currency system in 1858 — replacing the British pound with the Canadian dollar — and began issuing official provincial coins. Other provinces followed with their own issues (e.g., Nova Scotia, New Brunswick, and </w:t>
      </w:r>
      <w:r w:rsidRPr="00324F34">
        <w:lastRenderedPageBreak/>
        <w:t>Newfoundland). However, a standard federal dollar coin would not come for many decades. (</w:t>
      </w:r>
      <w:hyperlink r:id="rId7" w:tooltip="The 1911 silver dollar - Bank of Canada Museum" w:history="1">
        <w:r w:rsidRPr="00324F34">
          <w:rPr>
            <w:rStyle w:val="Hyperlink"/>
          </w:rPr>
          <w:t>bankofcanadamuseum.ca</w:t>
        </w:r>
      </w:hyperlink>
      <w:r w:rsidRPr="00324F34">
        <w:t>)</w:t>
      </w:r>
    </w:p>
    <w:p w14:paraId="784B7C60" w14:textId="5097685C" w:rsidR="00324F34" w:rsidRPr="00324F34" w:rsidRDefault="00324F34" w:rsidP="00324F34"/>
    <w:p w14:paraId="02EF67D0" w14:textId="77777777" w:rsidR="00324F34" w:rsidRPr="00324F34" w:rsidRDefault="00324F34" w:rsidP="00324F34">
      <w:pPr>
        <w:rPr>
          <w:b/>
          <w:bCs/>
        </w:rPr>
      </w:pPr>
      <w:r w:rsidRPr="00324F34">
        <w:rPr>
          <w:b/>
          <w:bCs/>
        </w:rPr>
        <w:t>The 1911 Silver Dollar Pattern</w:t>
      </w:r>
    </w:p>
    <w:p w14:paraId="356E50A2" w14:textId="77777777" w:rsidR="00324F34" w:rsidRPr="00324F34" w:rsidRDefault="00324F34" w:rsidP="00324F34">
      <w:r w:rsidRPr="00324F34">
        <w:t xml:space="preserve">One of the earliest attempts by Canadian authorities to strike a one-dollar coin occurred in </w:t>
      </w:r>
      <w:r w:rsidRPr="00324F34">
        <w:rPr>
          <w:b/>
          <w:bCs/>
        </w:rPr>
        <w:t>1911</w:t>
      </w:r>
      <w:r w:rsidRPr="00324F34">
        <w:t xml:space="preserve">. Tools were prepared and trial coins were struck — including two in silver and one in lead — but the Canadian government changed shortly thereafter and cancelled the planned issue. As a result, these pieces were classified as </w:t>
      </w:r>
      <w:r w:rsidRPr="00324F34">
        <w:rPr>
          <w:b/>
          <w:bCs/>
        </w:rPr>
        <w:t>pattern coins</w:t>
      </w:r>
      <w:r w:rsidRPr="00324F34">
        <w:t xml:space="preserve"> and were never released into general circulation. (</w:t>
      </w:r>
      <w:hyperlink r:id="rId8" w:tooltip="The 1911 silver dollar - Bank of Canada Museum" w:history="1">
        <w:r w:rsidRPr="00324F34">
          <w:rPr>
            <w:rStyle w:val="Hyperlink"/>
          </w:rPr>
          <w:t>bankofcanadamuseum.ca</w:t>
        </w:r>
      </w:hyperlink>
      <w:r w:rsidRPr="00324F34">
        <w:t>)</w:t>
      </w:r>
    </w:p>
    <w:p w14:paraId="641827ED" w14:textId="77777777" w:rsidR="00324F34" w:rsidRDefault="00324F34" w:rsidP="00324F34">
      <w:r w:rsidRPr="00324F34">
        <w:t>Because only three examples were struck — two in silver and one in lead — the 1911 pattern dollar is one of the rarest and most coveted Canadian coins, nicknamed among collectors as “</w:t>
      </w:r>
      <w:r w:rsidRPr="00324F34">
        <w:rPr>
          <w:b/>
          <w:bCs/>
        </w:rPr>
        <w:t>The Emperor of Canadian Coins</w:t>
      </w:r>
      <w:r w:rsidRPr="00324F34">
        <w:t>.” (</w:t>
      </w:r>
      <w:hyperlink r:id="rId9" w:tooltip="The 1911 silver dollar - Bank of Canada Museum" w:history="1">
        <w:r w:rsidRPr="00324F34">
          <w:rPr>
            <w:rStyle w:val="Hyperlink"/>
          </w:rPr>
          <w:t>bankofcanadamuseum.ca</w:t>
        </w:r>
      </w:hyperlink>
      <w:r w:rsidRPr="00324F34">
        <w:t>)</w:t>
      </w:r>
    </w:p>
    <w:p w14:paraId="41150E76" w14:textId="5B8B6FFB" w:rsidR="00B80037" w:rsidRDefault="00B80037" w:rsidP="00324F34"/>
    <w:p w14:paraId="4FFC7DA8" w14:textId="2CF88620" w:rsidR="00B80037" w:rsidRPr="00324F34" w:rsidRDefault="00B80037" w:rsidP="00324F34"/>
    <w:p w14:paraId="2F1887F0" w14:textId="2A40576B" w:rsidR="00324F34" w:rsidRPr="00324F34" w:rsidRDefault="00324F34" w:rsidP="00324F34">
      <w:pPr>
        <w:rPr>
          <w:b/>
          <w:bCs/>
        </w:rPr>
      </w:pPr>
      <w:r w:rsidRPr="00324F34">
        <w:rPr>
          <w:b/>
          <w:bCs/>
        </w:rPr>
        <w:t>The First Circulating Canadian Dollar: 1935 Silver Dollar</w:t>
      </w:r>
    </w:p>
    <w:p w14:paraId="5B23CBC4" w14:textId="193D32DF" w:rsidR="00324F34" w:rsidRPr="00324F34" w:rsidRDefault="00DB1284" w:rsidP="00324F34">
      <w:r w:rsidRPr="00324F34">
        <w:rPr>
          <w:noProof/>
        </w:rPr>
        <w:drawing>
          <wp:anchor distT="0" distB="0" distL="114300" distR="114300" simplePos="0" relativeHeight="251658240" behindDoc="0" locked="0" layoutInCell="1" allowOverlap="1" wp14:anchorId="24BEDEAE" wp14:editId="207DCB33">
            <wp:simplePos x="0" y="0"/>
            <wp:positionH relativeFrom="column">
              <wp:posOffset>-60960</wp:posOffset>
            </wp:positionH>
            <wp:positionV relativeFrom="paragraph">
              <wp:posOffset>205740</wp:posOffset>
            </wp:positionV>
            <wp:extent cx="3857368" cy="1927860"/>
            <wp:effectExtent l="0" t="0" r="0" b="0"/>
            <wp:wrapSquare wrapText="bothSides"/>
            <wp:docPr id="54043881" name="Picture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57368" cy="1927860"/>
                    </a:xfrm>
                    <a:prstGeom prst="rect">
                      <a:avLst/>
                    </a:prstGeom>
                    <a:noFill/>
                    <a:ln>
                      <a:noFill/>
                    </a:ln>
                  </pic:spPr>
                </pic:pic>
              </a:graphicData>
            </a:graphic>
          </wp:anchor>
        </w:drawing>
      </w:r>
      <w:r w:rsidR="00324F34" w:rsidRPr="00324F34">
        <w:t xml:space="preserve">The first official Canadian dollar intended for public use was issued in </w:t>
      </w:r>
      <w:r w:rsidR="00324F34" w:rsidRPr="00324F34">
        <w:rPr>
          <w:b/>
          <w:bCs/>
        </w:rPr>
        <w:t>1935</w:t>
      </w:r>
      <w:r w:rsidR="00324F34" w:rsidRPr="00324F34">
        <w:t xml:space="preserve"> by the Royal Canadian Mint in Ottawa. This </w:t>
      </w:r>
      <w:r w:rsidR="00324F34" w:rsidRPr="00324F34">
        <w:rPr>
          <w:b/>
          <w:bCs/>
        </w:rPr>
        <w:t>silver dollar</w:t>
      </w:r>
      <w:r w:rsidR="00324F34" w:rsidRPr="00324F34">
        <w:t xml:space="preserve"> celebrated the Silver Jubilee of King George V. The reverse featured a canoe scene — called the </w:t>
      </w:r>
      <w:r w:rsidR="00324F34" w:rsidRPr="00324F34">
        <w:rPr>
          <w:b/>
          <w:bCs/>
        </w:rPr>
        <w:t>Voyageur design</w:t>
      </w:r>
      <w:r w:rsidR="00324F34" w:rsidRPr="00324F34">
        <w:t xml:space="preserve"> — with a French-Canadian voyageur and an Indigenous guide paddling with bundles of furs, representing Canada’s fur-trade heritage. (</w:t>
      </w:r>
      <w:hyperlink r:id="rId11" w:tooltip="Canadian silver dollar" w:history="1">
        <w:r w:rsidR="00324F34" w:rsidRPr="00324F34">
          <w:rPr>
            <w:rStyle w:val="Hyperlink"/>
          </w:rPr>
          <w:t>Wikipedia</w:t>
        </w:r>
      </w:hyperlink>
      <w:r w:rsidR="00324F34" w:rsidRPr="00324F34">
        <w:t>)</w:t>
      </w:r>
    </w:p>
    <w:p w14:paraId="074D0648" w14:textId="77777777" w:rsidR="00324F34" w:rsidRPr="00324F34" w:rsidRDefault="00324F34" w:rsidP="00324F34">
      <w:r w:rsidRPr="00324F34">
        <w:t>This 1935 dollar ushered in a new era — and despite its weight and size (much larger and heavier than later dollars), it became Canada’s standard $1 coin in circulation. (</w:t>
      </w:r>
      <w:hyperlink r:id="rId12" w:tooltip="Canadian silver dollar" w:history="1">
        <w:r w:rsidRPr="00324F34">
          <w:rPr>
            <w:rStyle w:val="Hyperlink"/>
          </w:rPr>
          <w:t>Wikipedia</w:t>
        </w:r>
      </w:hyperlink>
      <w:r w:rsidRPr="00324F34">
        <w:t>)</w:t>
      </w:r>
    </w:p>
    <w:p w14:paraId="1DCD4A98" w14:textId="77777777" w:rsidR="00DB1284" w:rsidRDefault="00DB1284" w:rsidP="00324F34"/>
    <w:p w14:paraId="7430DBD8" w14:textId="0F53D2DE" w:rsidR="00DB1284" w:rsidRDefault="00324F34" w:rsidP="00324F34">
      <w:pPr>
        <w:rPr>
          <w:b/>
          <w:bCs/>
        </w:rPr>
      </w:pPr>
      <w:r w:rsidRPr="00324F34">
        <w:rPr>
          <w:b/>
          <w:bCs/>
        </w:rPr>
        <w:t>Voyageur Dollars (1935–1986)</w:t>
      </w:r>
    </w:p>
    <w:p w14:paraId="042B3258" w14:textId="24D400D6" w:rsidR="00324F34" w:rsidRPr="00324F34" w:rsidRDefault="00324F34" w:rsidP="00324F34">
      <w:r w:rsidRPr="00324F34">
        <w:t>Over the next five decades, the dollar coin continued to be struck under various designs and compositions:</w:t>
      </w:r>
    </w:p>
    <w:p w14:paraId="083714CB" w14:textId="7FC5C2F1" w:rsidR="00324F34" w:rsidRPr="00324F34" w:rsidRDefault="00324F34" w:rsidP="00324F34">
      <w:pPr>
        <w:rPr>
          <w:b/>
          <w:bCs/>
        </w:rPr>
      </w:pPr>
      <w:r w:rsidRPr="00324F34">
        <w:rPr>
          <w:b/>
          <w:bCs/>
        </w:rPr>
        <w:lastRenderedPageBreak/>
        <w:t>Silver Era (1935–1967)</w:t>
      </w:r>
    </w:p>
    <w:p w14:paraId="44255369" w14:textId="71AA34C8" w:rsidR="00324F34" w:rsidRPr="00324F34" w:rsidRDefault="00324F34" w:rsidP="00324F34">
      <w:pPr>
        <w:numPr>
          <w:ilvl w:val="0"/>
          <w:numId w:val="1"/>
        </w:numPr>
      </w:pPr>
      <w:r w:rsidRPr="00324F34">
        <w:t>Initially composed of 80% silver and 20% copper, these dollar coins were large and substantial.</w:t>
      </w:r>
    </w:p>
    <w:p w14:paraId="66FDCEAA" w14:textId="7C522E25" w:rsidR="00324F34" w:rsidRPr="00324F34" w:rsidRDefault="00324F34" w:rsidP="00324F34">
      <w:pPr>
        <w:numPr>
          <w:ilvl w:val="0"/>
          <w:numId w:val="1"/>
        </w:numPr>
      </w:pPr>
      <w:r w:rsidRPr="00324F34">
        <w:t xml:space="preserve">Regular and </w:t>
      </w:r>
      <w:r w:rsidRPr="00324F34">
        <w:rPr>
          <w:b/>
          <w:bCs/>
        </w:rPr>
        <w:t>commemorative designs</w:t>
      </w:r>
      <w:r w:rsidRPr="00324F34">
        <w:t xml:space="preserve"> were issued:</w:t>
      </w:r>
    </w:p>
    <w:p w14:paraId="31EE42B3" w14:textId="148E0C5C" w:rsidR="00324F34" w:rsidRPr="00324F34" w:rsidRDefault="00324F34" w:rsidP="00324F34">
      <w:pPr>
        <w:numPr>
          <w:ilvl w:val="1"/>
          <w:numId w:val="1"/>
        </w:numPr>
      </w:pPr>
      <w:r w:rsidRPr="00324F34">
        <w:t>1939 for the Royal Visit of King George VI and Queen Elizabeth</w:t>
      </w:r>
    </w:p>
    <w:p w14:paraId="1C8198EF" w14:textId="3A4AEC4C" w:rsidR="00324F34" w:rsidRPr="00324F34" w:rsidRDefault="00324F34" w:rsidP="00324F34">
      <w:pPr>
        <w:numPr>
          <w:ilvl w:val="1"/>
          <w:numId w:val="1"/>
        </w:numPr>
      </w:pPr>
      <w:r w:rsidRPr="00324F34">
        <w:t>1949 for Newfoundland joining Confederation</w:t>
      </w:r>
    </w:p>
    <w:p w14:paraId="32D4BC60" w14:textId="1A9212B8" w:rsidR="00324F34" w:rsidRPr="00324F34" w:rsidRDefault="00324F34" w:rsidP="00324F34">
      <w:pPr>
        <w:numPr>
          <w:ilvl w:val="1"/>
          <w:numId w:val="1"/>
        </w:numPr>
      </w:pPr>
      <w:r w:rsidRPr="00324F34">
        <w:t>1958 for the founding of British Columbia as a colony</w:t>
      </w:r>
    </w:p>
    <w:p w14:paraId="264B8784" w14:textId="1DB3C0A7" w:rsidR="00324F34" w:rsidRPr="00324F34" w:rsidRDefault="00324F34" w:rsidP="00324F34">
      <w:pPr>
        <w:numPr>
          <w:ilvl w:val="1"/>
          <w:numId w:val="1"/>
        </w:numPr>
      </w:pPr>
      <w:r w:rsidRPr="00324F34">
        <w:t>1964 commemorating the Charlottetown and Québec conferences</w:t>
      </w:r>
    </w:p>
    <w:p w14:paraId="3A9AA839" w14:textId="2DBAC8D9" w:rsidR="00324F34" w:rsidRPr="00324F34" w:rsidRDefault="00324F34" w:rsidP="00324F34">
      <w:pPr>
        <w:numPr>
          <w:ilvl w:val="1"/>
          <w:numId w:val="1"/>
        </w:numPr>
      </w:pPr>
      <w:r w:rsidRPr="00324F34">
        <w:t>1967 centennial dollar featuring a flying Canada goose</w:t>
      </w:r>
    </w:p>
    <w:p w14:paraId="5A34614E" w14:textId="4982F8B1" w:rsidR="00324F34" w:rsidRPr="00324F34" w:rsidRDefault="00324F34" w:rsidP="00324F34">
      <w:pPr>
        <w:numPr>
          <w:ilvl w:val="0"/>
          <w:numId w:val="1"/>
        </w:numPr>
      </w:pPr>
      <w:r w:rsidRPr="00324F34">
        <w:t>These silver dollars were popular both for circulation and as collector pieces. (</w:t>
      </w:r>
      <w:hyperlink r:id="rId13" w:tooltip="1 dollar | The Royal Canadian Mint" w:history="1">
        <w:r w:rsidRPr="00324F34">
          <w:rPr>
            <w:rStyle w:val="Hyperlink"/>
          </w:rPr>
          <w:t>https://www.mint.ca/en-us</w:t>
        </w:r>
      </w:hyperlink>
      <w:r w:rsidRPr="00324F34">
        <w:t>)</w:t>
      </w:r>
    </w:p>
    <w:p w14:paraId="2685DBEF" w14:textId="6194F5A4" w:rsidR="00324F34" w:rsidRPr="00324F34" w:rsidRDefault="00324F34" w:rsidP="00324F34">
      <w:pPr>
        <w:rPr>
          <w:b/>
          <w:bCs/>
        </w:rPr>
      </w:pPr>
      <w:r w:rsidRPr="00324F34">
        <w:rPr>
          <w:b/>
          <w:bCs/>
        </w:rPr>
        <w:t>Nickel Era (1968–1986)</w:t>
      </w:r>
    </w:p>
    <w:p w14:paraId="78531731" w14:textId="32310FFC" w:rsidR="00324F34" w:rsidRPr="00324F34" w:rsidRDefault="00324F34" w:rsidP="00324F34">
      <w:r w:rsidRPr="00324F34">
        <w:t xml:space="preserve">By </w:t>
      </w:r>
      <w:r w:rsidRPr="00324F34">
        <w:rPr>
          <w:b/>
          <w:bCs/>
        </w:rPr>
        <w:t>1968</w:t>
      </w:r>
      <w:r w:rsidRPr="00324F34">
        <w:t xml:space="preserve">, rising silver prices led to the silver dollar’s discontinuation in favor of a </w:t>
      </w:r>
      <w:r w:rsidRPr="00324F34">
        <w:rPr>
          <w:b/>
          <w:bCs/>
        </w:rPr>
        <w:t>nickel composition dollar</w:t>
      </w:r>
      <w:r w:rsidRPr="00324F34">
        <w:t xml:space="preserve"> — smaller and lighter, but still well-recognized. This nickel dollar continued to use the Voyageur design until the mid-1980s. (</w:t>
      </w:r>
      <w:hyperlink r:id="rId14" w:tooltip="Voyageur dollar" w:history="1">
        <w:r w:rsidRPr="00324F34">
          <w:rPr>
            <w:rStyle w:val="Hyperlink"/>
          </w:rPr>
          <w:t>Wikipedia</w:t>
        </w:r>
      </w:hyperlink>
      <w:r w:rsidRPr="00324F34">
        <w:t>)</w:t>
      </w:r>
    </w:p>
    <w:p w14:paraId="26ADBBEC" w14:textId="05164BA0" w:rsidR="00324F34" w:rsidRPr="00324F34" w:rsidRDefault="00324F34" w:rsidP="00324F34"/>
    <w:p w14:paraId="720F0FCB" w14:textId="6F0C22BB" w:rsidR="00324F34" w:rsidRPr="00324F34" w:rsidRDefault="00324F34" w:rsidP="00324F34">
      <w:pPr>
        <w:rPr>
          <w:b/>
          <w:bCs/>
        </w:rPr>
      </w:pPr>
      <w:r w:rsidRPr="00324F34">
        <w:rPr>
          <w:b/>
          <w:bCs/>
        </w:rPr>
        <w:t>Transition from Banknotes to Coin (The Lead-Up to the Loonie)</w:t>
      </w:r>
    </w:p>
    <w:p w14:paraId="46DDCE64" w14:textId="70E7ADC3" w:rsidR="00324F34" w:rsidRPr="00324F34" w:rsidRDefault="00324F34" w:rsidP="00324F34">
      <w:r w:rsidRPr="00324F34">
        <w:t xml:space="preserve">Although dollar coins had circulated for decades, the </w:t>
      </w:r>
      <w:r w:rsidRPr="00324F34">
        <w:rPr>
          <w:b/>
          <w:bCs/>
        </w:rPr>
        <w:t>Canadian one-dollar banknote</w:t>
      </w:r>
      <w:r w:rsidRPr="00324F34">
        <w:t xml:space="preserve"> remained in use alongside the silver and nickel dollars. By the 1980s, the government sought to reduce costs: paper notes wear out quickly often under a year, whereas coins can last 20+ years. (</w:t>
      </w:r>
      <w:hyperlink r:id="rId15" w:tooltip="A Tale of Two Designs: How Canada's 1-dollar Coin ..." w:history="1">
        <w:r w:rsidRPr="00324F34">
          <w:rPr>
            <w:rStyle w:val="Hyperlink"/>
          </w:rPr>
          <w:t>https://www.mint.ca/en-us</w:t>
        </w:r>
      </w:hyperlink>
      <w:r w:rsidRPr="00324F34">
        <w:t>)</w:t>
      </w:r>
    </w:p>
    <w:p w14:paraId="46439EAE" w14:textId="642F5685" w:rsidR="00324F34" w:rsidRPr="00324F34" w:rsidRDefault="00324F34" w:rsidP="00324F34">
      <w:r w:rsidRPr="00324F34">
        <w:t>Plans were made to introduce a new long-lasting dollar coin and phase out the banknote.</w:t>
      </w:r>
    </w:p>
    <w:p w14:paraId="342113F5" w14:textId="3E5A9E68" w:rsidR="00B80037" w:rsidRPr="00324F34" w:rsidRDefault="00B80037" w:rsidP="00324F34"/>
    <w:p w14:paraId="38A50551" w14:textId="2F9CCAF4" w:rsidR="00324F34" w:rsidRPr="00324F34" w:rsidRDefault="00324F34" w:rsidP="00324F34">
      <w:pPr>
        <w:rPr>
          <w:b/>
          <w:bCs/>
        </w:rPr>
      </w:pPr>
      <w:r w:rsidRPr="00324F34">
        <w:rPr>
          <w:b/>
          <w:bCs/>
        </w:rPr>
        <w:t>The Loonie — Canada’s Modern $1 Coin (1987–Present)</w:t>
      </w:r>
      <w:r w:rsidR="00891444">
        <w:rPr>
          <w:b/>
          <w:bCs/>
        </w:rPr>
        <w:t xml:space="preserve">   </w:t>
      </w:r>
    </w:p>
    <w:p w14:paraId="31A1BC63" w14:textId="2D22C969" w:rsidR="00324F34" w:rsidRPr="00324F34" w:rsidRDefault="00891444" w:rsidP="00324F34">
      <w:r>
        <w:rPr>
          <w:noProof/>
        </w:rPr>
        <w:drawing>
          <wp:anchor distT="0" distB="0" distL="114300" distR="114300" simplePos="0" relativeHeight="251659264" behindDoc="0" locked="0" layoutInCell="1" allowOverlap="1" wp14:anchorId="42336E28" wp14:editId="0C5C35D7">
            <wp:simplePos x="0" y="0"/>
            <wp:positionH relativeFrom="column">
              <wp:posOffset>4472940</wp:posOffset>
            </wp:positionH>
            <wp:positionV relativeFrom="paragraph">
              <wp:posOffset>-387350</wp:posOffset>
            </wp:positionV>
            <wp:extent cx="1714500" cy="171450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anchor>
        </w:drawing>
      </w:r>
      <w:r w:rsidR="00324F34" w:rsidRPr="00324F34">
        <w:t xml:space="preserve">On </w:t>
      </w:r>
      <w:r w:rsidR="00324F34" w:rsidRPr="00324F34">
        <w:rPr>
          <w:b/>
          <w:bCs/>
        </w:rPr>
        <w:t>June 30, 1987</w:t>
      </w:r>
      <w:r w:rsidR="00324F34" w:rsidRPr="00324F34">
        <w:t xml:space="preserve">, Canada officially introduced the new one-dollar circulation coin nicknamed the </w:t>
      </w:r>
      <w:r w:rsidR="00324F34" w:rsidRPr="00324F34">
        <w:rPr>
          <w:b/>
          <w:bCs/>
        </w:rPr>
        <w:t>Loonie</w:t>
      </w:r>
      <w:r w:rsidR="00324F34" w:rsidRPr="00324F34">
        <w:t xml:space="preserve">. The 11-sided bronze-colored coin depicted a </w:t>
      </w:r>
      <w:r w:rsidR="00324F34" w:rsidRPr="00324F34">
        <w:rPr>
          <w:b/>
          <w:bCs/>
        </w:rPr>
        <w:t>common loon</w:t>
      </w:r>
      <w:r w:rsidR="00324F34" w:rsidRPr="00324F34">
        <w:t xml:space="preserve"> on the reverse, designed by Canadian wildlife artist </w:t>
      </w:r>
      <w:r w:rsidR="00324F34" w:rsidRPr="00324F34">
        <w:rPr>
          <w:b/>
          <w:bCs/>
        </w:rPr>
        <w:t>Robert-Ralph Carmichael</w:t>
      </w:r>
      <w:r w:rsidR="00324F34" w:rsidRPr="00324F34">
        <w:t>. (</w:t>
      </w:r>
      <w:hyperlink r:id="rId17" w:tooltip="1 dollar | The Royal Canadian Mint" w:history="1">
        <w:r w:rsidR="00324F34" w:rsidRPr="00324F34">
          <w:rPr>
            <w:rStyle w:val="Hyperlink"/>
          </w:rPr>
          <w:t>https://www.mint.ca/en-us</w:t>
        </w:r>
      </w:hyperlink>
      <w:r w:rsidR="00324F34" w:rsidRPr="00324F34">
        <w:t>)</w:t>
      </w:r>
    </w:p>
    <w:p w14:paraId="24C4E1A8" w14:textId="17FEEFD3" w:rsidR="00324F34" w:rsidRPr="00324F34" w:rsidRDefault="00324F34" w:rsidP="00324F34">
      <w:r w:rsidRPr="00324F34">
        <w:lastRenderedPageBreak/>
        <w:t>Originally, a Voyageur design was intended for this new coin, but the dies were lost in transit to the minting facility — triggering the use of the loon design instead. (</w:t>
      </w:r>
      <w:hyperlink r:id="rId18" w:tooltip="A Tale of Two Designs: How Canada’s 1-dollar Coin Became the Loonie | The Royal Canadian Mint" w:history="1">
        <w:r w:rsidRPr="00324F34">
          <w:rPr>
            <w:rStyle w:val="Hyperlink"/>
          </w:rPr>
          <w:t>https://www.mint.ca/en-us</w:t>
        </w:r>
      </w:hyperlink>
      <w:r w:rsidRPr="00324F34">
        <w:t>)</w:t>
      </w:r>
    </w:p>
    <w:p w14:paraId="3011ACA5" w14:textId="77777777" w:rsidR="00324F34" w:rsidRPr="00324F34" w:rsidRDefault="00324F34" w:rsidP="00324F34">
      <w:pPr>
        <w:rPr>
          <w:b/>
          <w:bCs/>
        </w:rPr>
      </w:pPr>
      <w:r w:rsidRPr="00324F34">
        <w:rPr>
          <w:b/>
          <w:bCs/>
        </w:rPr>
        <w:t>Why “Loonie”?</w:t>
      </w:r>
    </w:p>
    <w:p w14:paraId="3118FBC7" w14:textId="77777777" w:rsidR="00324F34" w:rsidRPr="00324F34" w:rsidRDefault="00324F34" w:rsidP="00324F34">
      <w:r w:rsidRPr="00324F34">
        <w:t xml:space="preserve">The term </w:t>
      </w:r>
      <w:r w:rsidRPr="00324F34">
        <w:rPr>
          <w:b/>
          <w:bCs/>
        </w:rPr>
        <w:t>“Loonie”</w:t>
      </w:r>
      <w:r w:rsidRPr="00324F34">
        <w:t xml:space="preserve"> quickly became popular because of the loon on the coin and was soon applied colloquially to both the coin and the Canadian dollar itself. The Royal Canadian Mint later even trademarked the name. (</w:t>
      </w:r>
      <w:hyperlink r:id="rId19" w:tooltip="Loonie" w:history="1">
        <w:r w:rsidRPr="00324F34">
          <w:rPr>
            <w:rStyle w:val="Hyperlink"/>
          </w:rPr>
          <w:t>Wikipedia</w:t>
        </w:r>
      </w:hyperlink>
      <w:r w:rsidRPr="00324F34">
        <w:t>)</w:t>
      </w:r>
    </w:p>
    <w:p w14:paraId="267FBFDC" w14:textId="77777777" w:rsidR="00324F34" w:rsidRPr="00324F34" w:rsidRDefault="00324F34" w:rsidP="00324F34">
      <w:pPr>
        <w:rPr>
          <w:b/>
          <w:bCs/>
        </w:rPr>
      </w:pPr>
      <w:r w:rsidRPr="00324F34">
        <w:rPr>
          <w:b/>
          <w:bCs/>
        </w:rPr>
        <w:t>Phase-Out of the Dollar Note</w:t>
      </w:r>
    </w:p>
    <w:p w14:paraId="0DF0281A" w14:textId="77777777" w:rsidR="00324F34" w:rsidRPr="00324F34" w:rsidRDefault="00324F34" w:rsidP="00324F34">
      <w:r w:rsidRPr="00324F34">
        <w:t xml:space="preserve">The Canadian one-dollar bill continued circulating alongside the new coin until </w:t>
      </w:r>
      <w:r w:rsidRPr="00324F34">
        <w:rPr>
          <w:b/>
          <w:bCs/>
        </w:rPr>
        <w:t>1989</w:t>
      </w:r>
      <w:r w:rsidRPr="00324F34">
        <w:t>, when it was officially withdrawn from circulation. (</w:t>
      </w:r>
      <w:hyperlink r:id="rId20" w:tooltip="History: June 30,1987: Introducing the ‘loonie’" w:history="1">
        <w:r w:rsidRPr="00324F34">
          <w:rPr>
            <w:rStyle w:val="Hyperlink"/>
          </w:rPr>
          <w:t>rcinet.ca</w:t>
        </w:r>
      </w:hyperlink>
      <w:r w:rsidRPr="00324F34">
        <w:t>)</w:t>
      </w:r>
    </w:p>
    <w:p w14:paraId="513F245E" w14:textId="77777777" w:rsidR="00324F34" w:rsidRPr="00324F34" w:rsidRDefault="00324F34" w:rsidP="00324F34">
      <w:pPr>
        <w:rPr>
          <w:b/>
          <w:bCs/>
        </w:rPr>
      </w:pPr>
      <w:r w:rsidRPr="00324F34">
        <w:rPr>
          <w:b/>
          <w:bCs/>
        </w:rPr>
        <w:t>Design Evolution</w:t>
      </w:r>
    </w:p>
    <w:p w14:paraId="7E630974" w14:textId="77777777" w:rsidR="00324F34" w:rsidRPr="00324F34" w:rsidRDefault="00324F34" w:rsidP="00324F34">
      <w:r w:rsidRPr="00324F34">
        <w:t>Over the years, the Loonie has featured various commemorative designs celebrating national events, anniversaries, and figures, while retaining the loon motif as its iconic hallmark. (</w:t>
      </w:r>
      <w:hyperlink r:id="rId21" w:tooltip="1 dollar | The Royal Canadian Mint" w:history="1">
        <w:r w:rsidRPr="00324F34">
          <w:rPr>
            <w:rStyle w:val="Hyperlink"/>
          </w:rPr>
          <w:t>https://www.mint.ca/en-us</w:t>
        </w:r>
      </w:hyperlink>
      <w:r w:rsidRPr="00324F34">
        <w:t>)</w:t>
      </w:r>
    </w:p>
    <w:p w14:paraId="386EA924" w14:textId="77777777" w:rsidR="00324F34" w:rsidRPr="00324F34" w:rsidRDefault="00324F34" w:rsidP="00324F34">
      <w:r w:rsidRPr="00324F34">
        <w:t>Additionally, modern Loonies now include advanced security features, such as a micro-engraved maple leaf laser mark, to help prevent counterfeiting. (</w:t>
      </w:r>
      <w:hyperlink r:id="rId22" w:tooltip="A Tale of Two Designs: How Canada’s 1-dollar Coin Became the Loonie | The Royal Canadian Mint" w:history="1">
        <w:r w:rsidRPr="00324F34">
          <w:rPr>
            <w:rStyle w:val="Hyperlink"/>
          </w:rPr>
          <w:t>https://www.mint.ca/en-us</w:t>
        </w:r>
      </w:hyperlink>
      <w:r w:rsidRPr="00324F34">
        <w:t>)</w:t>
      </w:r>
    </w:p>
    <w:p w14:paraId="085BA99E" w14:textId="172A79A3" w:rsidR="00324F34" w:rsidRPr="00324F34" w:rsidRDefault="00324F34" w:rsidP="00324F34"/>
    <w:p w14:paraId="3F86B637" w14:textId="77777777" w:rsidR="00324F34" w:rsidRPr="00324F34" w:rsidRDefault="00324F34" w:rsidP="00324F34">
      <w:pPr>
        <w:rPr>
          <w:b/>
          <w:bCs/>
        </w:rPr>
      </w:pPr>
      <w:r w:rsidRPr="00324F34">
        <w:rPr>
          <w:b/>
          <w:bCs/>
        </w:rPr>
        <w:t>Legacy and Cultural Impact</w:t>
      </w:r>
    </w:p>
    <w:p w14:paraId="2E092F14" w14:textId="77777777" w:rsidR="00324F34" w:rsidRPr="00324F34" w:rsidRDefault="00324F34" w:rsidP="00324F34">
      <w:r w:rsidRPr="00324F34">
        <w:t>Today, the Loonie is more than just currency — it’s a symbol of Canadian identity and craftsmanship. Its introduction marked one of the most significant changes to Canadian coinage in decades and reflects both practical and cultural considerations in national money design. (</w:t>
      </w:r>
      <w:hyperlink r:id="rId23" w:tooltip="A Tale of Two Designs: How Canada's 1-dollar Coin ..." w:history="1">
        <w:r w:rsidRPr="00324F34">
          <w:rPr>
            <w:rStyle w:val="Hyperlink"/>
          </w:rPr>
          <w:t>https://www.mint.ca/en-us</w:t>
        </w:r>
      </w:hyperlink>
      <w:r w:rsidRPr="00324F34">
        <w:t>)</w:t>
      </w:r>
    </w:p>
    <w:p w14:paraId="315FD69A" w14:textId="538924C0" w:rsidR="00324F34" w:rsidRPr="00324F34" w:rsidRDefault="00324F34" w:rsidP="00324F34"/>
    <w:p w14:paraId="143FAB9E" w14:textId="77777777" w:rsidR="00F07AEE" w:rsidRPr="00D94432" w:rsidRDefault="00F07AEE" w:rsidP="00F07AEE">
      <w:pPr>
        <w:rPr>
          <w:b/>
          <w:bCs/>
        </w:rPr>
      </w:pPr>
      <w:r w:rsidRPr="00D94432">
        <w:rPr>
          <w:b/>
          <w:bCs/>
        </w:rPr>
        <w:t>Timeline of Canadian $1 Coins — Mintages, Compositions &amp; Portraits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72"/>
        <w:gridCol w:w="3158"/>
        <w:gridCol w:w="1768"/>
        <w:gridCol w:w="1739"/>
        <w:gridCol w:w="1623"/>
      </w:tblGrid>
      <w:tr w:rsidR="00F07AEE" w:rsidRPr="00D94432" w14:paraId="4E0894B5" w14:textId="77777777" w:rsidTr="00C57249">
        <w:trPr>
          <w:tblHeader/>
          <w:tblCellSpacing w:w="15" w:type="dxa"/>
        </w:trPr>
        <w:tc>
          <w:tcPr>
            <w:tcW w:w="0" w:type="auto"/>
            <w:vAlign w:val="center"/>
            <w:hideMark/>
          </w:tcPr>
          <w:p w14:paraId="69A77934" w14:textId="77777777" w:rsidR="00F07AEE" w:rsidRPr="00D94432" w:rsidRDefault="00F07AEE" w:rsidP="00C57249">
            <w:pPr>
              <w:rPr>
                <w:b/>
                <w:bCs/>
              </w:rPr>
            </w:pPr>
            <w:r w:rsidRPr="00D94432">
              <w:rPr>
                <w:b/>
                <w:bCs/>
              </w:rPr>
              <w:t>Year(s)</w:t>
            </w:r>
          </w:p>
        </w:tc>
        <w:tc>
          <w:tcPr>
            <w:tcW w:w="0" w:type="auto"/>
            <w:vAlign w:val="center"/>
            <w:hideMark/>
          </w:tcPr>
          <w:p w14:paraId="58E1B18E" w14:textId="77777777" w:rsidR="00F07AEE" w:rsidRPr="00D94432" w:rsidRDefault="00F07AEE" w:rsidP="00C57249">
            <w:pPr>
              <w:rPr>
                <w:b/>
                <w:bCs/>
              </w:rPr>
            </w:pPr>
            <w:r w:rsidRPr="00D94432">
              <w:rPr>
                <w:b/>
                <w:bCs/>
              </w:rPr>
              <w:t>Coin Type / Issue</w:t>
            </w:r>
          </w:p>
        </w:tc>
        <w:tc>
          <w:tcPr>
            <w:tcW w:w="0" w:type="auto"/>
            <w:vAlign w:val="center"/>
            <w:hideMark/>
          </w:tcPr>
          <w:p w14:paraId="6565837A" w14:textId="77777777" w:rsidR="00F07AEE" w:rsidRPr="00D94432" w:rsidRDefault="00F07AEE" w:rsidP="00C57249">
            <w:pPr>
              <w:rPr>
                <w:b/>
                <w:bCs/>
              </w:rPr>
            </w:pPr>
            <w:r w:rsidRPr="00D94432">
              <w:rPr>
                <w:b/>
                <w:bCs/>
              </w:rPr>
              <w:t>Approx. Mintage</w:t>
            </w:r>
          </w:p>
        </w:tc>
        <w:tc>
          <w:tcPr>
            <w:tcW w:w="0" w:type="auto"/>
            <w:vAlign w:val="center"/>
            <w:hideMark/>
          </w:tcPr>
          <w:p w14:paraId="0271D8EF" w14:textId="77777777" w:rsidR="00F07AEE" w:rsidRPr="00D94432" w:rsidRDefault="00F07AEE" w:rsidP="00C57249">
            <w:pPr>
              <w:rPr>
                <w:b/>
                <w:bCs/>
              </w:rPr>
            </w:pPr>
            <w:r w:rsidRPr="00D94432">
              <w:rPr>
                <w:b/>
                <w:bCs/>
              </w:rPr>
              <w:t>Composition</w:t>
            </w:r>
          </w:p>
        </w:tc>
        <w:tc>
          <w:tcPr>
            <w:tcW w:w="0" w:type="auto"/>
            <w:vAlign w:val="center"/>
            <w:hideMark/>
          </w:tcPr>
          <w:p w14:paraId="649BF4BB" w14:textId="77777777" w:rsidR="00F07AEE" w:rsidRPr="00D94432" w:rsidRDefault="00F07AEE" w:rsidP="00C57249">
            <w:pPr>
              <w:rPr>
                <w:b/>
                <w:bCs/>
              </w:rPr>
            </w:pPr>
            <w:r w:rsidRPr="00D94432">
              <w:rPr>
                <w:b/>
                <w:bCs/>
              </w:rPr>
              <w:t>Obverse Portrait</w:t>
            </w:r>
          </w:p>
        </w:tc>
      </w:tr>
      <w:tr w:rsidR="00F07AEE" w:rsidRPr="00D94432" w14:paraId="5CD10FA8" w14:textId="77777777" w:rsidTr="00C57249">
        <w:trPr>
          <w:tblCellSpacing w:w="15" w:type="dxa"/>
        </w:trPr>
        <w:tc>
          <w:tcPr>
            <w:tcW w:w="0" w:type="auto"/>
            <w:vAlign w:val="center"/>
            <w:hideMark/>
          </w:tcPr>
          <w:p w14:paraId="3A3DCE61" w14:textId="77777777" w:rsidR="00F07AEE" w:rsidRPr="00D94432" w:rsidRDefault="00F07AEE" w:rsidP="00C57249">
            <w:r w:rsidRPr="00D94432">
              <w:t>Pre-1858</w:t>
            </w:r>
          </w:p>
        </w:tc>
        <w:tc>
          <w:tcPr>
            <w:tcW w:w="0" w:type="auto"/>
            <w:vAlign w:val="center"/>
            <w:hideMark/>
          </w:tcPr>
          <w:p w14:paraId="702324EB" w14:textId="77777777" w:rsidR="00F07AEE" w:rsidRPr="00D94432" w:rsidRDefault="00F07AEE" w:rsidP="00C57249">
            <w:r w:rsidRPr="00D94432">
              <w:t>Foreign dollars circulating in British North America (Spanish, U.S., etc.)</w:t>
            </w:r>
          </w:p>
        </w:tc>
        <w:tc>
          <w:tcPr>
            <w:tcW w:w="0" w:type="auto"/>
            <w:vAlign w:val="center"/>
            <w:hideMark/>
          </w:tcPr>
          <w:p w14:paraId="0F4C48BB" w14:textId="77777777" w:rsidR="00F07AEE" w:rsidRPr="00D94432" w:rsidRDefault="00F07AEE" w:rsidP="00C57249">
            <w:r w:rsidRPr="00D94432">
              <w:t>N/A</w:t>
            </w:r>
          </w:p>
        </w:tc>
        <w:tc>
          <w:tcPr>
            <w:tcW w:w="0" w:type="auto"/>
            <w:vAlign w:val="center"/>
            <w:hideMark/>
          </w:tcPr>
          <w:p w14:paraId="7C8EDD0F" w14:textId="77777777" w:rsidR="00F07AEE" w:rsidRPr="00D94432" w:rsidRDefault="00F07AEE" w:rsidP="00C57249">
            <w:r w:rsidRPr="00D94432">
              <w:t>Silver (varied)</w:t>
            </w:r>
          </w:p>
        </w:tc>
        <w:tc>
          <w:tcPr>
            <w:tcW w:w="0" w:type="auto"/>
            <w:vAlign w:val="center"/>
            <w:hideMark/>
          </w:tcPr>
          <w:p w14:paraId="0FC39252" w14:textId="77777777" w:rsidR="00F07AEE" w:rsidRPr="00D94432" w:rsidRDefault="00F07AEE" w:rsidP="00C57249">
            <w:r w:rsidRPr="00D94432">
              <w:t>Foreign rulers</w:t>
            </w:r>
          </w:p>
        </w:tc>
      </w:tr>
      <w:tr w:rsidR="00F07AEE" w:rsidRPr="00D94432" w14:paraId="618C0F2F" w14:textId="77777777" w:rsidTr="00C57249">
        <w:trPr>
          <w:tblCellSpacing w:w="15" w:type="dxa"/>
        </w:trPr>
        <w:tc>
          <w:tcPr>
            <w:tcW w:w="0" w:type="auto"/>
            <w:vAlign w:val="center"/>
            <w:hideMark/>
          </w:tcPr>
          <w:p w14:paraId="5B527EE4" w14:textId="77777777" w:rsidR="00F07AEE" w:rsidRPr="00D94432" w:rsidRDefault="00F07AEE" w:rsidP="00C57249">
            <w:r w:rsidRPr="00D94432">
              <w:lastRenderedPageBreak/>
              <w:t>1858–1870</w:t>
            </w:r>
          </w:p>
        </w:tc>
        <w:tc>
          <w:tcPr>
            <w:tcW w:w="0" w:type="auto"/>
            <w:vAlign w:val="center"/>
            <w:hideMark/>
          </w:tcPr>
          <w:p w14:paraId="06DAC906" w14:textId="77777777" w:rsidR="00F07AEE" w:rsidRPr="00D94432" w:rsidRDefault="00F07AEE" w:rsidP="00C57249">
            <w:r w:rsidRPr="00D94432">
              <w:t>Canadian decimal coinage introduced (no $1 coin yet)</w:t>
            </w:r>
          </w:p>
        </w:tc>
        <w:tc>
          <w:tcPr>
            <w:tcW w:w="0" w:type="auto"/>
            <w:vAlign w:val="center"/>
            <w:hideMark/>
          </w:tcPr>
          <w:p w14:paraId="125E96A4" w14:textId="77777777" w:rsidR="00F07AEE" w:rsidRPr="00D94432" w:rsidRDefault="00F07AEE" w:rsidP="00C57249">
            <w:r w:rsidRPr="00D94432">
              <w:t>N/A</w:t>
            </w:r>
          </w:p>
        </w:tc>
        <w:tc>
          <w:tcPr>
            <w:tcW w:w="0" w:type="auto"/>
            <w:vAlign w:val="center"/>
            <w:hideMark/>
          </w:tcPr>
          <w:p w14:paraId="51C5D28A" w14:textId="77777777" w:rsidR="00F07AEE" w:rsidRPr="00D94432" w:rsidRDefault="00F07AEE" w:rsidP="00C57249">
            <w:r w:rsidRPr="00D94432">
              <w:t>—</w:t>
            </w:r>
          </w:p>
        </w:tc>
        <w:tc>
          <w:tcPr>
            <w:tcW w:w="0" w:type="auto"/>
            <w:vAlign w:val="center"/>
            <w:hideMark/>
          </w:tcPr>
          <w:p w14:paraId="2D2AE47B" w14:textId="77777777" w:rsidR="00F07AEE" w:rsidRPr="00D94432" w:rsidRDefault="00F07AEE" w:rsidP="00C57249">
            <w:r w:rsidRPr="00D94432">
              <w:t>Queen Victoria</w:t>
            </w:r>
          </w:p>
        </w:tc>
      </w:tr>
      <w:tr w:rsidR="00F07AEE" w:rsidRPr="00D94432" w14:paraId="0EDF15D7" w14:textId="77777777" w:rsidTr="00C57249">
        <w:trPr>
          <w:tblCellSpacing w:w="15" w:type="dxa"/>
        </w:trPr>
        <w:tc>
          <w:tcPr>
            <w:tcW w:w="0" w:type="auto"/>
            <w:vAlign w:val="center"/>
            <w:hideMark/>
          </w:tcPr>
          <w:p w14:paraId="552F695F" w14:textId="77777777" w:rsidR="00F07AEE" w:rsidRPr="00D94432" w:rsidRDefault="00F07AEE" w:rsidP="00C57249">
            <w:r w:rsidRPr="00D94432">
              <w:rPr>
                <w:b/>
                <w:bCs/>
              </w:rPr>
              <w:t>1911</w:t>
            </w:r>
          </w:p>
        </w:tc>
        <w:tc>
          <w:tcPr>
            <w:tcW w:w="0" w:type="auto"/>
            <w:vAlign w:val="center"/>
            <w:hideMark/>
          </w:tcPr>
          <w:p w14:paraId="16EA3F8D" w14:textId="77777777" w:rsidR="00F07AEE" w:rsidRPr="00D94432" w:rsidRDefault="00F07AEE" w:rsidP="00C57249">
            <w:r w:rsidRPr="00D94432">
              <w:rPr>
                <w:b/>
                <w:bCs/>
              </w:rPr>
              <w:t>Pattern Silver Dollar</w:t>
            </w:r>
            <w:r w:rsidRPr="00D94432">
              <w:t xml:space="preserve"> (never circulated)</w:t>
            </w:r>
          </w:p>
        </w:tc>
        <w:tc>
          <w:tcPr>
            <w:tcW w:w="0" w:type="auto"/>
            <w:vAlign w:val="center"/>
            <w:hideMark/>
          </w:tcPr>
          <w:p w14:paraId="3394B620" w14:textId="77777777" w:rsidR="00F07AEE" w:rsidRPr="00D94432" w:rsidRDefault="00F07AEE" w:rsidP="00C57249">
            <w:r w:rsidRPr="00D94432">
              <w:rPr>
                <w:b/>
                <w:bCs/>
              </w:rPr>
              <w:t>3 known</w:t>
            </w:r>
            <w:r w:rsidRPr="00D94432">
              <w:t xml:space="preserve"> (2 silver, 1 lead)</w:t>
            </w:r>
          </w:p>
        </w:tc>
        <w:tc>
          <w:tcPr>
            <w:tcW w:w="0" w:type="auto"/>
            <w:vAlign w:val="center"/>
            <w:hideMark/>
          </w:tcPr>
          <w:p w14:paraId="6B1BC26A" w14:textId="77777777" w:rsidR="00F07AEE" w:rsidRPr="00D94432" w:rsidRDefault="00F07AEE" w:rsidP="00C57249">
            <w:r w:rsidRPr="00D94432">
              <w:t>92.5% silver</w:t>
            </w:r>
          </w:p>
        </w:tc>
        <w:tc>
          <w:tcPr>
            <w:tcW w:w="0" w:type="auto"/>
            <w:vAlign w:val="center"/>
            <w:hideMark/>
          </w:tcPr>
          <w:p w14:paraId="22FE3FB7" w14:textId="77777777" w:rsidR="00F07AEE" w:rsidRPr="00D94432" w:rsidRDefault="00F07AEE" w:rsidP="00C57249">
            <w:r w:rsidRPr="00D94432">
              <w:t>King George V</w:t>
            </w:r>
          </w:p>
        </w:tc>
      </w:tr>
      <w:tr w:rsidR="00F07AEE" w:rsidRPr="00D94432" w14:paraId="3FB78918" w14:textId="77777777" w:rsidTr="00C57249">
        <w:trPr>
          <w:tblCellSpacing w:w="15" w:type="dxa"/>
        </w:trPr>
        <w:tc>
          <w:tcPr>
            <w:tcW w:w="0" w:type="auto"/>
            <w:vAlign w:val="center"/>
            <w:hideMark/>
          </w:tcPr>
          <w:p w14:paraId="1F55A217" w14:textId="77777777" w:rsidR="00F07AEE" w:rsidRPr="00D94432" w:rsidRDefault="00F07AEE" w:rsidP="00C57249">
            <w:r w:rsidRPr="00D94432">
              <w:rPr>
                <w:b/>
                <w:bCs/>
              </w:rPr>
              <w:t>1935</w:t>
            </w:r>
          </w:p>
        </w:tc>
        <w:tc>
          <w:tcPr>
            <w:tcW w:w="0" w:type="auto"/>
            <w:vAlign w:val="center"/>
            <w:hideMark/>
          </w:tcPr>
          <w:p w14:paraId="3337FCAF" w14:textId="77777777" w:rsidR="00F07AEE" w:rsidRPr="00D94432" w:rsidRDefault="00F07AEE" w:rsidP="00C57249">
            <w:r w:rsidRPr="00D94432">
              <w:t>First circulating Canadian $1 (Voyageur)</w:t>
            </w:r>
          </w:p>
        </w:tc>
        <w:tc>
          <w:tcPr>
            <w:tcW w:w="0" w:type="auto"/>
            <w:vAlign w:val="center"/>
            <w:hideMark/>
          </w:tcPr>
          <w:p w14:paraId="05E5A57C" w14:textId="77777777" w:rsidR="00F07AEE" w:rsidRPr="00D94432" w:rsidRDefault="00F07AEE" w:rsidP="00C57249">
            <w:r w:rsidRPr="00D94432">
              <w:rPr>
                <w:b/>
                <w:bCs/>
              </w:rPr>
              <w:t>1,010,710</w:t>
            </w:r>
          </w:p>
        </w:tc>
        <w:tc>
          <w:tcPr>
            <w:tcW w:w="0" w:type="auto"/>
            <w:vAlign w:val="center"/>
            <w:hideMark/>
          </w:tcPr>
          <w:p w14:paraId="560A4CB4" w14:textId="77777777" w:rsidR="00F07AEE" w:rsidRPr="00D94432" w:rsidRDefault="00F07AEE" w:rsidP="00C57249">
            <w:r w:rsidRPr="00D94432">
              <w:t>80% silver</w:t>
            </w:r>
          </w:p>
        </w:tc>
        <w:tc>
          <w:tcPr>
            <w:tcW w:w="0" w:type="auto"/>
            <w:vAlign w:val="center"/>
            <w:hideMark/>
          </w:tcPr>
          <w:p w14:paraId="642D7A3E" w14:textId="77777777" w:rsidR="00F07AEE" w:rsidRPr="00D94432" w:rsidRDefault="00F07AEE" w:rsidP="00C57249">
            <w:r w:rsidRPr="00D94432">
              <w:t>King George V</w:t>
            </w:r>
          </w:p>
        </w:tc>
      </w:tr>
      <w:tr w:rsidR="00F07AEE" w:rsidRPr="00D94432" w14:paraId="44CA1E25" w14:textId="77777777" w:rsidTr="00C57249">
        <w:trPr>
          <w:tblCellSpacing w:w="15" w:type="dxa"/>
        </w:trPr>
        <w:tc>
          <w:tcPr>
            <w:tcW w:w="0" w:type="auto"/>
            <w:vAlign w:val="center"/>
            <w:hideMark/>
          </w:tcPr>
          <w:p w14:paraId="7F133F1F" w14:textId="77777777" w:rsidR="00F07AEE" w:rsidRPr="00D94432" w:rsidRDefault="00F07AEE" w:rsidP="00C57249">
            <w:r w:rsidRPr="00D94432">
              <w:rPr>
                <w:b/>
                <w:bCs/>
              </w:rPr>
              <w:t>1936–1952</w:t>
            </w:r>
          </w:p>
        </w:tc>
        <w:tc>
          <w:tcPr>
            <w:tcW w:w="0" w:type="auto"/>
            <w:vAlign w:val="center"/>
            <w:hideMark/>
          </w:tcPr>
          <w:p w14:paraId="20698D90" w14:textId="77777777" w:rsidR="00F07AEE" w:rsidRPr="00D94432" w:rsidRDefault="00F07AEE" w:rsidP="00C57249">
            <w:r w:rsidRPr="00D94432">
              <w:t>Voyageur silver dollars (regular issues)</w:t>
            </w:r>
          </w:p>
        </w:tc>
        <w:tc>
          <w:tcPr>
            <w:tcW w:w="0" w:type="auto"/>
            <w:vAlign w:val="center"/>
            <w:hideMark/>
          </w:tcPr>
          <w:p w14:paraId="0C688630" w14:textId="77777777" w:rsidR="00F07AEE" w:rsidRPr="00D94432" w:rsidRDefault="00F07AEE" w:rsidP="00C57249">
            <w:r w:rsidRPr="00D94432">
              <w:t>Varies by year</w:t>
            </w:r>
          </w:p>
        </w:tc>
        <w:tc>
          <w:tcPr>
            <w:tcW w:w="0" w:type="auto"/>
            <w:vAlign w:val="center"/>
            <w:hideMark/>
          </w:tcPr>
          <w:p w14:paraId="20F08DBF" w14:textId="77777777" w:rsidR="00F07AEE" w:rsidRPr="00D94432" w:rsidRDefault="00F07AEE" w:rsidP="00C57249">
            <w:r w:rsidRPr="00D94432">
              <w:t>80% silver</w:t>
            </w:r>
          </w:p>
        </w:tc>
        <w:tc>
          <w:tcPr>
            <w:tcW w:w="0" w:type="auto"/>
            <w:vAlign w:val="center"/>
            <w:hideMark/>
          </w:tcPr>
          <w:p w14:paraId="477A959A" w14:textId="77777777" w:rsidR="00F07AEE" w:rsidRPr="00D94432" w:rsidRDefault="00F07AEE" w:rsidP="00C57249">
            <w:r w:rsidRPr="00D94432">
              <w:t>King George V / King George VI</w:t>
            </w:r>
          </w:p>
        </w:tc>
      </w:tr>
      <w:tr w:rsidR="00F07AEE" w:rsidRPr="00D94432" w14:paraId="799CA99C" w14:textId="77777777" w:rsidTr="00C57249">
        <w:trPr>
          <w:tblCellSpacing w:w="15" w:type="dxa"/>
        </w:trPr>
        <w:tc>
          <w:tcPr>
            <w:tcW w:w="0" w:type="auto"/>
            <w:vAlign w:val="center"/>
            <w:hideMark/>
          </w:tcPr>
          <w:p w14:paraId="18F34C2F" w14:textId="77777777" w:rsidR="00F07AEE" w:rsidRPr="00D94432" w:rsidRDefault="00F07AEE" w:rsidP="00C57249">
            <w:r w:rsidRPr="00D94432">
              <w:rPr>
                <w:b/>
                <w:bCs/>
              </w:rPr>
              <w:t>1939</w:t>
            </w:r>
          </w:p>
        </w:tc>
        <w:tc>
          <w:tcPr>
            <w:tcW w:w="0" w:type="auto"/>
            <w:vAlign w:val="center"/>
            <w:hideMark/>
          </w:tcPr>
          <w:p w14:paraId="48BE5947" w14:textId="77777777" w:rsidR="00F07AEE" w:rsidRPr="00D94432" w:rsidRDefault="00F07AEE" w:rsidP="00C57249">
            <w:r w:rsidRPr="00D94432">
              <w:t>Royal Visit commemorative dollar</w:t>
            </w:r>
          </w:p>
        </w:tc>
        <w:tc>
          <w:tcPr>
            <w:tcW w:w="0" w:type="auto"/>
            <w:vAlign w:val="center"/>
            <w:hideMark/>
          </w:tcPr>
          <w:p w14:paraId="4973C718" w14:textId="77777777" w:rsidR="00F07AEE" w:rsidRPr="00D94432" w:rsidRDefault="00F07AEE" w:rsidP="00C57249">
            <w:r w:rsidRPr="00D94432">
              <w:t>~1,000,000</w:t>
            </w:r>
          </w:p>
        </w:tc>
        <w:tc>
          <w:tcPr>
            <w:tcW w:w="0" w:type="auto"/>
            <w:vAlign w:val="center"/>
            <w:hideMark/>
          </w:tcPr>
          <w:p w14:paraId="79A9B670" w14:textId="77777777" w:rsidR="00F07AEE" w:rsidRPr="00D94432" w:rsidRDefault="00F07AEE" w:rsidP="00C57249">
            <w:r w:rsidRPr="00D94432">
              <w:t>80% silver</w:t>
            </w:r>
          </w:p>
        </w:tc>
        <w:tc>
          <w:tcPr>
            <w:tcW w:w="0" w:type="auto"/>
            <w:vAlign w:val="center"/>
            <w:hideMark/>
          </w:tcPr>
          <w:p w14:paraId="7EC8D4E7" w14:textId="77777777" w:rsidR="00F07AEE" w:rsidRPr="00D94432" w:rsidRDefault="00F07AEE" w:rsidP="00C57249">
            <w:r w:rsidRPr="00D94432">
              <w:t>King George VI</w:t>
            </w:r>
          </w:p>
        </w:tc>
      </w:tr>
      <w:tr w:rsidR="00F07AEE" w:rsidRPr="00D94432" w14:paraId="211536FF" w14:textId="77777777" w:rsidTr="00C57249">
        <w:trPr>
          <w:tblCellSpacing w:w="15" w:type="dxa"/>
        </w:trPr>
        <w:tc>
          <w:tcPr>
            <w:tcW w:w="0" w:type="auto"/>
            <w:vAlign w:val="center"/>
            <w:hideMark/>
          </w:tcPr>
          <w:p w14:paraId="0A23C414" w14:textId="77777777" w:rsidR="00F07AEE" w:rsidRPr="00D94432" w:rsidRDefault="00F07AEE" w:rsidP="00C57249">
            <w:r w:rsidRPr="00D94432">
              <w:rPr>
                <w:b/>
                <w:bCs/>
              </w:rPr>
              <w:t>1949</w:t>
            </w:r>
          </w:p>
        </w:tc>
        <w:tc>
          <w:tcPr>
            <w:tcW w:w="0" w:type="auto"/>
            <w:vAlign w:val="center"/>
            <w:hideMark/>
          </w:tcPr>
          <w:p w14:paraId="1925F73A" w14:textId="77777777" w:rsidR="00F07AEE" w:rsidRPr="00D94432" w:rsidRDefault="00F07AEE" w:rsidP="00C57249">
            <w:r w:rsidRPr="00D94432">
              <w:t>Newfoundland Confederation dollar</w:t>
            </w:r>
          </w:p>
        </w:tc>
        <w:tc>
          <w:tcPr>
            <w:tcW w:w="0" w:type="auto"/>
            <w:vAlign w:val="center"/>
            <w:hideMark/>
          </w:tcPr>
          <w:p w14:paraId="608A3C3E" w14:textId="77777777" w:rsidR="00F07AEE" w:rsidRPr="00D94432" w:rsidRDefault="00F07AEE" w:rsidP="00C57249">
            <w:r w:rsidRPr="00D94432">
              <w:t>~1,000,000</w:t>
            </w:r>
          </w:p>
        </w:tc>
        <w:tc>
          <w:tcPr>
            <w:tcW w:w="0" w:type="auto"/>
            <w:vAlign w:val="center"/>
            <w:hideMark/>
          </w:tcPr>
          <w:p w14:paraId="3235FE00" w14:textId="77777777" w:rsidR="00F07AEE" w:rsidRPr="00D94432" w:rsidRDefault="00F07AEE" w:rsidP="00C57249">
            <w:r w:rsidRPr="00D94432">
              <w:t>80% silver</w:t>
            </w:r>
          </w:p>
        </w:tc>
        <w:tc>
          <w:tcPr>
            <w:tcW w:w="0" w:type="auto"/>
            <w:vAlign w:val="center"/>
            <w:hideMark/>
          </w:tcPr>
          <w:p w14:paraId="5C5E19EB" w14:textId="77777777" w:rsidR="00F07AEE" w:rsidRPr="00D94432" w:rsidRDefault="00F07AEE" w:rsidP="00C57249">
            <w:r w:rsidRPr="00D94432">
              <w:t>King George VI</w:t>
            </w:r>
          </w:p>
        </w:tc>
      </w:tr>
      <w:tr w:rsidR="00F07AEE" w:rsidRPr="00D94432" w14:paraId="2A25C61E" w14:textId="77777777" w:rsidTr="00C57249">
        <w:trPr>
          <w:tblCellSpacing w:w="15" w:type="dxa"/>
        </w:trPr>
        <w:tc>
          <w:tcPr>
            <w:tcW w:w="0" w:type="auto"/>
            <w:vAlign w:val="center"/>
            <w:hideMark/>
          </w:tcPr>
          <w:p w14:paraId="45EB9A52" w14:textId="77777777" w:rsidR="00F07AEE" w:rsidRPr="00D94432" w:rsidRDefault="00F07AEE" w:rsidP="00C57249">
            <w:r w:rsidRPr="00D94432">
              <w:rPr>
                <w:b/>
                <w:bCs/>
              </w:rPr>
              <w:t>1953–1964</w:t>
            </w:r>
          </w:p>
        </w:tc>
        <w:tc>
          <w:tcPr>
            <w:tcW w:w="0" w:type="auto"/>
            <w:vAlign w:val="center"/>
            <w:hideMark/>
          </w:tcPr>
          <w:p w14:paraId="7A8C12C7" w14:textId="77777777" w:rsidR="00F07AEE" w:rsidRPr="00D94432" w:rsidRDefault="00F07AEE" w:rsidP="00C57249">
            <w:r w:rsidRPr="00D94432">
              <w:t>Voyageur silver dollars</w:t>
            </w:r>
          </w:p>
        </w:tc>
        <w:tc>
          <w:tcPr>
            <w:tcW w:w="0" w:type="auto"/>
            <w:vAlign w:val="center"/>
            <w:hideMark/>
          </w:tcPr>
          <w:p w14:paraId="6AB95812" w14:textId="77777777" w:rsidR="00F07AEE" w:rsidRPr="00D94432" w:rsidRDefault="00F07AEE" w:rsidP="00C57249">
            <w:r w:rsidRPr="00D94432">
              <w:t>Varies by year</w:t>
            </w:r>
          </w:p>
        </w:tc>
        <w:tc>
          <w:tcPr>
            <w:tcW w:w="0" w:type="auto"/>
            <w:vAlign w:val="center"/>
            <w:hideMark/>
          </w:tcPr>
          <w:p w14:paraId="6374AD70" w14:textId="77777777" w:rsidR="00F07AEE" w:rsidRPr="00D94432" w:rsidRDefault="00F07AEE" w:rsidP="00C57249">
            <w:r w:rsidRPr="00D94432">
              <w:t>80% silver</w:t>
            </w:r>
          </w:p>
        </w:tc>
        <w:tc>
          <w:tcPr>
            <w:tcW w:w="0" w:type="auto"/>
            <w:vAlign w:val="center"/>
            <w:hideMark/>
          </w:tcPr>
          <w:p w14:paraId="0E2E880B" w14:textId="77777777" w:rsidR="00F07AEE" w:rsidRPr="00D94432" w:rsidRDefault="00F07AEE" w:rsidP="00C57249">
            <w:r w:rsidRPr="00D94432">
              <w:t>Queen Elizabeth II (Young Head)</w:t>
            </w:r>
          </w:p>
        </w:tc>
      </w:tr>
      <w:tr w:rsidR="00F07AEE" w:rsidRPr="00D94432" w14:paraId="3598C6A4" w14:textId="77777777" w:rsidTr="00C57249">
        <w:trPr>
          <w:tblCellSpacing w:w="15" w:type="dxa"/>
        </w:trPr>
        <w:tc>
          <w:tcPr>
            <w:tcW w:w="0" w:type="auto"/>
            <w:vAlign w:val="center"/>
            <w:hideMark/>
          </w:tcPr>
          <w:p w14:paraId="062E489D" w14:textId="77777777" w:rsidR="00F07AEE" w:rsidRPr="00D94432" w:rsidRDefault="00F07AEE" w:rsidP="00C57249">
            <w:r w:rsidRPr="00D94432">
              <w:rPr>
                <w:b/>
                <w:bCs/>
              </w:rPr>
              <w:t>1964</w:t>
            </w:r>
          </w:p>
        </w:tc>
        <w:tc>
          <w:tcPr>
            <w:tcW w:w="0" w:type="auto"/>
            <w:vAlign w:val="center"/>
            <w:hideMark/>
          </w:tcPr>
          <w:p w14:paraId="38A46F1A" w14:textId="77777777" w:rsidR="00F07AEE" w:rsidRPr="00D94432" w:rsidRDefault="00F07AEE" w:rsidP="00C57249">
            <w:r w:rsidRPr="00D94432">
              <w:t>Charlottetown &amp; Québec Conferences dollar</w:t>
            </w:r>
          </w:p>
        </w:tc>
        <w:tc>
          <w:tcPr>
            <w:tcW w:w="0" w:type="auto"/>
            <w:vAlign w:val="center"/>
            <w:hideMark/>
          </w:tcPr>
          <w:p w14:paraId="1746F78A" w14:textId="77777777" w:rsidR="00F07AEE" w:rsidRPr="00D94432" w:rsidRDefault="00F07AEE" w:rsidP="00C57249">
            <w:r w:rsidRPr="00D94432">
              <w:t>~7,300,000</w:t>
            </w:r>
          </w:p>
        </w:tc>
        <w:tc>
          <w:tcPr>
            <w:tcW w:w="0" w:type="auto"/>
            <w:vAlign w:val="center"/>
            <w:hideMark/>
          </w:tcPr>
          <w:p w14:paraId="18931A5D" w14:textId="77777777" w:rsidR="00F07AEE" w:rsidRPr="00D94432" w:rsidRDefault="00F07AEE" w:rsidP="00C57249">
            <w:r w:rsidRPr="00D94432">
              <w:t>80% silver</w:t>
            </w:r>
          </w:p>
        </w:tc>
        <w:tc>
          <w:tcPr>
            <w:tcW w:w="0" w:type="auto"/>
            <w:vAlign w:val="center"/>
            <w:hideMark/>
          </w:tcPr>
          <w:p w14:paraId="5E672239" w14:textId="77777777" w:rsidR="00F07AEE" w:rsidRPr="00D94432" w:rsidRDefault="00F07AEE" w:rsidP="00C57249">
            <w:r w:rsidRPr="00D94432">
              <w:t>Queen Elizabeth II</w:t>
            </w:r>
          </w:p>
        </w:tc>
      </w:tr>
      <w:tr w:rsidR="00F07AEE" w:rsidRPr="00D94432" w14:paraId="7E0C7498" w14:textId="77777777" w:rsidTr="00C57249">
        <w:trPr>
          <w:tblCellSpacing w:w="15" w:type="dxa"/>
        </w:trPr>
        <w:tc>
          <w:tcPr>
            <w:tcW w:w="0" w:type="auto"/>
            <w:vAlign w:val="center"/>
            <w:hideMark/>
          </w:tcPr>
          <w:p w14:paraId="41094490" w14:textId="77777777" w:rsidR="00F07AEE" w:rsidRPr="00D94432" w:rsidRDefault="00F07AEE" w:rsidP="00C57249">
            <w:r w:rsidRPr="00D94432">
              <w:rPr>
                <w:b/>
                <w:bCs/>
              </w:rPr>
              <w:t>1967</w:t>
            </w:r>
          </w:p>
        </w:tc>
        <w:tc>
          <w:tcPr>
            <w:tcW w:w="0" w:type="auto"/>
            <w:vAlign w:val="center"/>
            <w:hideMark/>
          </w:tcPr>
          <w:p w14:paraId="1B9830FD" w14:textId="77777777" w:rsidR="00F07AEE" w:rsidRPr="00D94432" w:rsidRDefault="00F07AEE" w:rsidP="00C57249">
            <w:r w:rsidRPr="00D94432">
              <w:t>Centennial “Flying Goose” dollar</w:t>
            </w:r>
          </w:p>
        </w:tc>
        <w:tc>
          <w:tcPr>
            <w:tcW w:w="0" w:type="auto"/>
            <w:vAlign w:val="center"/>
            <w:hideMark/>
          </w:tcPr>
          <w:p w14:paraId="389C2A3C" w14:textId="77777777" w:rsidR="00F07AEE" w:rsidRPr="00D94432" w:rsidRDefault="00F07AEE" w:rsidP="00C57249">
            <w:r w:rsidRPr="00D94432">
              <w:rPr>
                <w:b/>
                <w:bCs/>
              </w:rPr>
              <w:t>~21,000,000</w:t>
            </w:r>
          </w:p>
        </w:tc>
        <w:tc>
          <w:tcPr>
            <w:tcW w:w="0" w:type="auto"/>
            <w:vAlign w:val="center"/>
            <w:hideMark/>
          </w:tcPr>
          <w:p w14:paraId="5A0D0ED8" w14:textId="77777777" w:rsidR="00F07AEE" w:rsidRPr="00D94432" w:rsidRDefault="00F07AEE" w:rsidP="00C57249">
            <w:r w:rsidRPr="00D94432">
              <w:t>50% silver / 50% copper</w:t>
            </w:r>
          </w:p>
        </w:tc>
        <w:tc>
          <w:tcPr>
            <w:tcW w:w="0" w:type="auto"/>
            <w:vAlign w:val="center"/>
            <w:hideMark/>
          </w:tcPr>
          <w:p w14:paraId="41FF6683" w14:textId="77777777" w:rsidR="00F07AEE" w:rsidRPr="00D94432" w:rsidRDefault="00F07AEE" w:rsidP="00C57249">
            <w:r w:rsidRPr="00D94432">
              <w:t>Queen Elizabeth II</w:t>
            </w:r>
          </w:p>
        </w:tc>
      </w:tr>
      <w:tr w:rsidR="00F07AEE" w:rsidRPr="00D94432" w14:paraId="6CE2DCB3" w14:textId="77777777" w:rsidTr="00C57249">
        <w:trPr>
          <w:tblCellSpacing w:w="15" w:type="dxa"/>
        </w:trPr>
        <w:tc>
          <w:tcPr>
            <w:tcW w:w="0" w:type="auto"/>
            <w:vAlign w:val="center"/>
            <w:hideMark/>
          </w:tcPr>
          <w:p w14:paraId="3EE1F696" w14:textId="77777777" w:rsidR="00F07AEE" w:rsidRPr="00D94432" w:rsidRDefault="00F07AEE" w:rsidP="00C57249">
            <w:r w:rsidRPr="00D94432">
              <w:rPr>
                <w:b/>
                <w:bCs/>
              </w:rPr>
              <w:t>1968–1986</w:t>
            </w:r>
          </w:p>
        </w:tc>
        <w:tc>
          <w:tcPr>
            <w:tcW w:w="0" w:type="auto"/>
            <w:vAlign w:val="center"/>
            <w:hideMark/>
          </w:tcPr>
          <w:p w14:paraId="7DBDACA2" w14:textId="77777777" w:rsidR="00F07AEE" w:rsidRPr="00D94432" w:rsidRDefault="00F07AEE" w:rsidP="00C57249">
            <w:r w:rsidRPr="00D94432">
              <w:t>Nickel Voyageur dollars</w:t>
            </w:r>
          </w:p>
        </w:tc>
        <w:tc>
          <w:tcPr>
            <w:tcW w:w="0" w:type="auto"/>
            <w:vAlign w:val="center"/>
            <w:hideMark/>
          </w:tcPr>
          <w:p w14:paraId="7094C260" w14:textId="77777777" w:rsidR="00F07AEE" w:rsidRPr="00D94432" w:rsidRDefault="00F07AEE" w:rsidP="00C57249">
            <w:proofErr w:type="gramStart"/>
            <w:r w:rsidRPr="00D94432">
              <w:t>Tens</w:t>
            </w:r>
            <w:proofErr w:type="gramEnd"/>
            <w:r w:rsidRPr="00D94432">
              <w:t xml:space="preserve"> of millions total</w:t>
            </w:r>
          </w:p>
        </w:tc>
        <w:tc>
          <w:tcPr>
            <w:tcW w:w="0" w:type="auto"/>
            <w:vAlign w:val="center"/>
            <w:hideMark/>
          </w:tcPr>
          <w:p w14:paraId="15F1E313" w14:textId="77777777" w:rsidR="00F07AEE" w:rsidRPr="00D94432" w:rsidRDefault="00F07AEE" w:rsidP="00C57249">
            <w:r w:rsidRPr="00D94432">
              <w:t>99.9% nickel</w:t>
            </w:r>
          </w:p>
        </w:tc>
        <w:tc>
          <w:tcPr>
            <w:tcW w:w="0" w:type="auto"/>
            <w:vAlign w:val="center"/>
            <w:hideMark/>
          </w:tcPr>
          <w:p w14:paraId="7BA10FAA" w14:textId="77777777" w:rsidR="00F07AEE" w:rsidRPr="00D94432" w:rsidRDefault="00F07AEE" w:rsidP="00C57249">
            <w:r w:rsidRPr="00D94432">
              <w:t>Queen Elizabeth II</w:t>
            </w:r>
          </w:p>
        </w:tc>
      </w:tr>
      <w:tr w:rsidR="00F07AEE" w:rsidRPr="00D94432" w14:paraId="71B55BB6" w14:textId="77777777" w:rsidTr="00C57249">
        <w:trPr>
          <w:tblCellSpacing w:w="15" w:type="dxa"/>
        </w:trPr>
        <w:tc>
          <w:tcPr>
            <w:tcW w:w="0" w:type="auto"/>
            <w:vAlign w:val="center"/>
            <w:hideMark/>
          </w:tcPr>
          <w:p w14:paraId="5639A740" w14:textId="77777777" w:rsidR="00F07AEE" w:rsidRPr="00D94432" w:rsidRDefault="00F07AEE" w:rsidP="00C57249">
            <w:r w:rsidRPr="00D94432">
              <w:rPr>
                <w:b/>
                <w:bCs/>
              </w:rPr>
              <w:t>1987</w:t>
            </w:r>
          </w:p>
        </w:tc>
        <w:tc>
          <w:tcPr>
            <w:tcW w:w="0" w:type="auto"/>
            <w:vAlign w:val="center"/>
            <w:hideMark/>
          </w:tcPr>
          <w:p w14:paraId="7CD23590" w14:textId="77777777" w:rsidR="00F07AEE" w:rsidRPr="00D94432" w:rsidRDefault="00F07AEE" w:rsidP="00C57249">
            <w:r w:rsidRPr="00D94432">
              <w:rPr>
                <w:b/>
                <w:bCs/>
              </w:rPr>
              <w:t>Loonie introduced</w:t>
            </w:r>
          </w:p>
        </w:tc>
        <w:tc>
          <w:tcPr>
            <w:tcW w:w="0" w:type="auto"/>
            <w:vAlign w:val="center"/>
            <w:hideMark/>
          </w:tcPr>
          <w:p w14:paraId="275DC40F" w14:textId="77777777" w:rsidR="00F07AEE" w:rsidRPr="00D94432" w:rsidRDefault="00F07AEE" w:rsidP="00C57249">
            <w:r w:rsidRPr="00D94432">
              <w:rPr>
                <w:b/>
                <w:bCs/>
              </w:rPr>
              <w:t>~187,000,000</w:t>
            </w:r>
          </w:p>
        </w:tc>
        <w:tc>
          <w:tcPr>
            <w:tcW w:w="0" w:type="auto"/>
            <w:vAlign w:val="center"/>
            <w:hideMark/>
          </w:tcPr>
          <w:p w14:paraId="533738E8" w14:textId="77777777" w:rsidR="00F07AEE" w:rsidRPr="00D94432" w:rsidRDefault="00F07AEE" w:rsidP="00C57249">
            <w:r w:rsidRPr="00D94432">
              <w:t>Bronze-plated nickel</w:t>
            </w:r>
          </w:p>
        </w:tc>
        <w:tc>
          <w:tcPr>
            <w:tcW w:w="0" w:type="auto"/>
            <w:vAlign w:val="center"/>
            <w:hideMark/>
          </w:tcPr>
          <w:p w14:paraId="088F04BC" w14:textId="77777777" w:rsidR="00F07AEE" w:rsidRPr="00D94432" w:rsidRDefault="00F07AEE" w:rsidP="00C57249">
            <w:r w:rsidRPr="00D94432">
              <w:t>Queen Elizabeth II</w:t>
            </w:r>
          </w:p>
        </w:tc>
      </w:tr>
      <w:tr w:rsidR="00F07AEE" w:rsidRPr="00D94432" w14:paraId="5F0EA6F4" w14:textId="77777777" w:rsidTr="00C57249">
        <w:trPr>
          <w:tblCellSpacing w:w="15" w:type="dxa"/>
        </w:trPr>
        <w:tc>
          <w:tcPr>
            <w:tcW w:w="0" w:type="auto"/>
            <w:vAlign w:val="center"/>
            <w:hideMark/>
          </w:tcPr>
          <w:p w14:paraId="558C56E4" w14:textId="77777777" w:rsidR="00F07AEE" w:rsidRPr="00D94432" w:rsidRDefault="00F07AEE" w:rsidP="00C57249">
            <w:r w:rsidRPr="00D94432">
              <w:rPr>
                <w:b/>
                <w:bCs/>
              </w:rPr>
              <w:t>1989</w:t>
            </w:r>
          </w:p>
        </w:tc>
        <w:tc>
          <w:tcPr>
            <w:tcW w:w="0" w:type="auto"/>
            <w:vAlign w:val="center"/>
            <w:hideMark/>
          </w:tcPr>
          <w:p w14:paraId="03EE59C0" w14:textId="77777777" w:rsidR="00F07AEE" w:rsidRPr="00D94432" w:rsidRDefault="00F07AEE" w:rsidP="00C57249">
            <w:r w:rsidRPr="00D94432">
              <w:t>$1 banknote withdrawn</w:t>
            </w:r>
          </w:p>
        </w:tc>
        <w:tc>
          <w:tcPr>
            <w:tcW w:w="0" w:type="auto"/>
            <w:vAlign w:val="center"/>
            <w:hideMark/>
          </w:tcPr>
          <w:p w14:paraId="69F5C3F5" w14:textId="77777777" w:rsidR="00F07AEE" w:rsidRPr="00D94432" w:rsidRDefault="00F07AEE" w:rsidP="00C57249">
            <w:r w:rsidRPr="00D94432">
              <w:t>—</w:t>
            </w:r>
          </w:p>
        </w:tc>
        <w:tc>
          <w:tcPr>
            <w:tcW w:w="0" w:type="auto"/>
            <w:vAlign w:val="center"/>
            <w:hideMark/>
          </w:tcPr>
          <w:p w14:paraId="146B8A76" w14:textId="77777777" w:rsidR="00F07AEE" w:rsidRPr="00D94432" w:rsidRDefault="00F07AEE" w:rsidP="00C57249">
            <w:r w:rsidRPr="00D94432">
              <w:t>—</w:t>
            </w:r>
          </w:p>
        </w:tc>
        <w:tc>
          <w:tcPr>
            <w:tcW w:w="0" w:type="auto"/>
            <w:vAlign w:val="center"/>
            <w:hideMark/>
          </w:tcPr>
          <w:p w14:paraId="7CAB9F63" w14:textId="77777777" w:rsidR="00F07AEE" w:rsidRPr="00D94432" w:rsidRDefault="00F07AEE" w:rsidP="00C57249">
            <w:r w:rsidRPr="00D94432">
              <w:t>—</w:t>
            </w:r>
          </w:p>
        </w:tc>
      </w:tr>
      <w:tr w:rsidR="00F07AEE" w:rsidRPr="00D94432" w14:paraId="675A4CC5" w14:textId="77777777" w:rsidTr="00C57249">
        <w:trPr>
          <w:tblCellSpacing w:w="15" w:type="dxa"/>
        </w:trPr>
        <w:tc>
          <w:tcPr>
            <w:tcW w:w="0" w:type="auto"/>
            <w:vAlign w:val="center"/>
            <w:hideMark/>
          </w:tcPr>
          <w:p w14:paraId="5027C092" w14:textId="77777777" w:rsidR="00F07AEE" w:rsidRPr="00D94432" w:rsidRDefault="00F07AEE" w:rsidP="00C57249">
            <w:r w:rsidRPr="00D94432">
              <w:rPr>
                <w:b/>
                <w:bCs/>
              </w:rPr>
              <w:t>1990–2002</w:t>
            </w:r>
          </w:p>
        </w:tc>
        <w:tc>
          <w:tcPr>
            <w:tcW w:w="0" w:type="auto"/>
            <w:vAlign w:val="center"/>
            <w:hideMark/>
          </w:tcPr>
          <w:p w14:paraId="20138A64" w14:textId="77777777" w:rsidR="00F07AEE" w:rsidRPr="00D94432" w:rsidRDefault="00F07AEE" w:rsidP="00C57249">
            <w:r w:rsidRPr="00D94432">
              <w:t>Standard Loonie issues</w:t>
            </w:r>
          </w:p>
        </w:tc>
        <w:tc>
          <w:tcPr>
            <w:tcW w:w="0" w:type="auto"/>
            <w:vAlign w:val="center"/>
            <w:hideMark/>
          </w:tcPr>
          <w:p w14:paraId="28B0E0A4" w14:textId="77777777" w:rsidR="00F07AEE" w:rsidRPr="00D94432" w:rsidRDefault="00F07AEE" w:rsidP="00C57249">
            <w:r w:rsidRPr="00D94432">
              <w:t>Varies annually</w:t>
            </w:r>
          </w:p>
        </w:tc>
        <w:tc>
          <w:tcPr>
            <w:tcW w:w="0" w:type="auto"/>
            <w:vAlign w:val="center"/>
            <w:hideMark/>
          </w:tcPr>
          <w:p w14:paraId="24A6C3E7" w14:textId="77777777" w:rsidR="00F07AEE" w:rsidRPr="00D94432" w:rsidRDefault="00F07AEE" w:rsidP="00C57249">
            <w:r w:rsidRPr="00D94432">
              <w:t>Bronze-plated nickel</w:t>
            </w:r>
          </w:p>
        </w:tc>
        <w:tc>
          <w:tcPr>
            <w:tcW w:w="0" w:type="auto"/>
            <w:vAlign w:val="center"/>
            <w:hideMark/>
          </w:tcPr>
          <w:p w14:paraId="2CB643F8" w14:textId="77777777" w:rsidR="00F07AEE" w:rsidRPr="00D94432" w:rsidRDefault="00F07AEE" w:rsidP="00C57249">
            <w:r w:rsidRPr="00D94432">
              <w:t>Queen Elizabeth II</w:t>
            </w:r>
          </w:p>
        </w:tc>
      </w:tr>
      <w:tr w:rsidR="00F07AEE" w:rsidRPr="00D94432" w14:paraId="01613C66" w14:textId="77777777" w:rsidTr="00C57249">
        <w:trPr>
          <w:tblCellSpacing w:w="15" w:type="dxa"/>
        </w:trPr>
        <w:tc>
          <w:tcPr>
            <w:tcW w:w="0" w:type="auto"/>
            <w:vAlign w:val="center"/>
            <w:hideMark/>
          </w:tcPr>
          <w:p w14:paraId="0E400CF1" w14:textId="77777777" w:rsidR="00F07AEE" w:rsidRPr="00D94432" w:rsidRDefault="00F07AEE" w:rsidP="00C57249">
            <w:r w:rsidRPr="00D94432">
              <w:rPr>
                <w:b/>
                <w:bCs/>
              </w:rPr>
              <w:lastRenderedPageBreak/>
              <w:t>2003–2022</w:t>
            </w:r>
          </w:p>
        </w:tc>
        <w:tc>
          <w:tcPr>
            <w:tcW w:w="0" w:type="auto"/>
            <w:vAlign w:val="center"/>
            <w:hideMark/>
          </w:tcPr>
          <w:p w14:paraId="4A3D3831" w14:textId="77777777" w:rsidR="00F07AEE" w:rsidRPr="00D94432" w:rsidRDefault="00F07AEE" w:rsidP="00C57249">
            <w:r w:rsidRPr="00D94432">
              <w:t>Modern Loonies (security enhancements)</w:t>
            </w:r>
          </w:p>
        </w:tc>
        <w:tc>
          <w:tcPr>
            <w:tcW w:w="0" w:type="auto"/>
            <w:vAlign w:val="center"/>
            <w:hideMark/>
          </w:tcPr>
          <w:p w14:paraId="29A183F2" w14:textId="77777777" w:rsidR="00F07AEE" w:rsidRPr="00D94432" w:rsidRDefault="00F07AEE" w:rsidP="00C57249">
            <w:r w:rsidRPr="00D94432">
              <w:t>Varies annually</w:t>
            </w:r>
          </w:p>
        </w:tc>
        <w:tc>
          <w:tcPr>
            <w:tcW w:w="0" w:type="auto"/>
            <w:vAlign w:val="center"/>
            <w:hideMark/>
          </w:tcPr>
          <w:p w14:paraId="344FB414" w14:textId="77777777" w:rsidR="00F07AEE" w:rsidRPr="00D94432" w:rsidRDefault="00F07AEE" w:rsidP="00C57249">
            <w:r w:rsidRPr="00D94432">
              <w:t>Brass-plated steel</w:t>
            </w:r>
          </w:p>
        </w:tc>
        <w:tc>
          <w:tcPr>
            <w:tcW w:w="0" w:type="auto"/>
            <w:vAlign w:val="center"/>
            <w:hideMark/>
          </w:tcPr>
          <w:p w14:paraId="70BC42F2" w14:textId="77777777" w:rsidR="00F07AEE" w:rsidRPr="00D94432" w:rsidRDefault="00F07AEE" w:rsidP="00C57249">
            <w:r w:rsidRPr="00D94432">
              <w:t>Queen Elizabeth II</w:t>
            </w:r>
          </w:p>
        </w:tc>
      </w:tr>
      <w:tr w:rsidR="00F07AEE" w:rsidRPr="00D94432" w14:paraId="60E881C4" w14:textId="77777777" w:rsidTr="00C57249">
        <w:trPr>
          <w:tblCellSpacing w:w="15" w:type="dxa"/>
        </w:trPr>
        <w:tc>
          <w:tcPr>
            <w:tcW w:w="0" w:type="auto"/>
            <w:vAlign w:val="center"/>
            <w:hideMark/>
          </w:tcPr>
          <w:p w14:paraId="0A56B98C" w14:textId="77777777" w:rsidR="00F07AEE" w:rsidRPr="00D94432" w:rsidRDefault="00F07AEE" w:rsidP="00C57249">
            <w:r w:rsidRPr="00D94432">
              <w:rPr>
                <w:b/>
                <w:bCs/>
              </w:rPr>
              <w:t>2023–Present</w:t>
            </w:r>
          </w:p>
        </w:tc>
        <w:tc>
          <w:tcPr>
            <w:tcW w:w="0" w:type="auto"/>
            <w:vAlign w:val="center"/>
            <w:hideMark/>
          </w:tcPr>
          <w:p w14:paraId="3C18F4F2" w14:textId="77777777" w:rsidR="00F07AEE" w:rsidRPr="00D94432" w:rsidRDefault="00F07AEE" w:rsidP="00C57249">
            <w:r w:rsidRPr="00D94432">
              <w:t>Loonie with King Charles III portrait</w:t>
            </w:r>
          </w:p>
        </w:tc>
        <w:tc>
          <w:tcPr>
            <w:tcW w:w="0" w:type="auto"/>
            <w:vAlign w:val="center"/>
            <w:hideMark/>
          </w:tcPr>
          <w:p w14:paraId="2479B907" w14:textId="77777777" w:rsidR="00F07AEE" w:rsidRPr="00D94432" w:rsidRDefault="00F07AEE" w:rsidP="00C57249">
            <w:r w:rsidRPr="00D94432">
              <w:t>Ongoing</w:t>
            </w:r>
          </w:p>
        </w:tc>
        <w:tc>
          <w:tcPr>
            <w:tcW w:w="0" w:type="auto"/>
            <w:vAlign w:val="center"/>
            <w:hideMark/>
          </w:tcPr>
          <w:p w14:paraId="6CBBF9E3" w14:textId="77777777" w:rsidR="00F07AEE" w:rsidRPr="00D94432" w:rsidRDefault="00F07AEE" w:rsidP="00C57249">
            <w:r w:rsidRPr="00D94432">
              <w:t>Brass-plated steel</w:t>
            </w:r>
          </w:p>
        </w:tc>
        <w:tc>
          <w:tcPr>
            <w:tcW w:w="0" w:type="auto"/>
            <w:vAlign w:val="center"/>
            <w:hideMark/>
          </w:tcPr>
          <w:p w14:paraId="026E6A16" w14:textId="77777777" w:rsidR="00F07AEE" w:rsidRPr="00D94432" w:rsidRDefault="00F07AEE" w:rsidP="00C57249">
            <w:r w:rsidRPr="00D94432">
              <w:t>King Charles III</w:t>
            </w:r>
          </w:p>
        </w:tc>
      </w:tr>
    </w:tbl>
    <w:p w14:paraId="7215DF96" w14:textId="77777777" w:rsidR="00F07AEE" w:rsidRDefault="00F07AEE" w:rsidP="00324F34">
      <w:pPr>
        <w:rPr>
          <w:b/>
          <w:bCs/>
        </w:rPr>
      </w:pPr>
    </w:p>
    <w:p w14:paraId="44B89E99" w14:textId="012E8E4D" w:rsidR="00324F34" w:rsidRPr="00324F34" w:rsidRDefault="00324F34" w:rsidP="00324F34">
      <w:pPr>
        <w:rPr>
          <w:b/>
          <w:bCs/>
        </w:rPr>
      </w:pPr>
      <w:r w:rsidRPr="00324F34">
        <w:rPr>
          <w:b/>
          <w:bCs/>
        </w:rPr>
        <w:t>References</w:t>
      </w:r>
    </w:p>
    <w:p w14:paraId="79A92673" w14:textId="77777777" w:rsidR="00324F34" w:rsidRPr="00324F34" w:rsidRDefault="00324F34" w:rsidP="00324F34">
      <w:pPr>
        <w:numPr>
          <w:ilvl w:val="0"/>
          <w:numId w:val="2"/>
        </w:numPr>
      </w:pPr>
      <w:r w:rsidRPr="00324F34">
        <w:t xml:space="preserve">Royal Canadian Mint, </w:t>
      </w:r>
      <w:r w:rsidRPr="00324F34">
        <w:rPr>
          <w:i/>
          <w:iCs/>
        </w:rPr>
        <w:t>Striking in its Solitude – the 1-dollar Coin</w:t>
      </w:r>
      <w:r w:rsidRPr="00324F34">
        <w:t xml:space="preserve"> (history and designs). (</w:t>
      </w:r>
      <w:hyperlink r:id="rId24" w:tooltip="1 dollar | The Royal Canadian Mint" w:history="1">
        <w:r w:rsidRPr="00324F34">
          <w:rPr>
            <w:rStyle w:val="Hyperlink"/>
          </w:rPr>
          <w:t>https://www.mint.ca/en-us</w:t>
        </w:r>
      </w:hyperlink>
      <w:r w:rsidRPr="00324F34">
        <w:t>)</w:t>
      </w:r>
    </w:p>
    <w:p w14:paraId="693505EE" w14:textId="77777777" w:rsidR="00324F34" w:rsidRPr="00324F34" w:rsidRDefault="00324F34" w:rsidP="00324F34">
      <w:pPr>
        <w:numPr>
          <w:ilvl w:val="0"/>
          <w:numId w:val="2"/>
        </w:numPr>
      </w:pPr>
      <w:r w:rsidRPr="00324F34">
        <w:t xml:space="preserve">Bank of Canada Museum, </w:t>
      </w:r>
      <w:r w:rsidRPr="00324F34">
        <w:rPr>
          <w:i/>
          <w:iCs/>
        </w:rPr>
        <w:t>The 1911 Silver Dollar</w:t>
      </w:r>
      <w:r w:rsidRPr="00324F34">
        <w:t>. (</w:t>
      </w:r>
      <w:hyperlink r:id="rId25" w:tooltip="The 1911 silver dollar - Bank of Canada Museum" w:history="1">
        <w:r w:rsidRPr="00324F34">
          <w:rPr>
            <w:rStyle w:val="Hyperlink"/>
          </w:rPr>
          <w:t>bankofcanadamuseum.ca</w:t>
        </w:r>
      </w:hyperlink>
      <w:r w:rsidRPr="00324F34">
        <w:t>)</w:t>
      </w:r>
    </w:p>
    <w:p w14:paraId="32317AEA" w14:textId="77777777" w:rsidR="00324F34" w:rsidRPr="00324F34" w:rsidRDefault="00324F34" w:rsidP="00324F34">
      <w:pPr>
        <w:numPr>
          <w:ilvl w:val="0"/>
          <w:numId w:val="2"/>
        </w:numPr>
      </w:pPr>
      <w:r w:rsidRPr="00324F34">
        <w:t xml:space="preserve">Royal Canadian Mint blog, </w:t>
      </w:r>
      <w:r w:rsidRPr="00324F34">
        <w:rPr>
          <w:i/>
          <w:iCs/>
        </w:rPr>
        <w:t>A Tale of Two Designs: How Canada’s 1-dollar Coin Became the Loonie</w:t>
      </w:r>
      <w:r w:rsidRPr="00324F34">
        <w:t>. (</w:t>
      </w:r>
      <w:hyperlink r:id="rId26" w:tooltip="A Tale of Two Designs: How Canada’s 1-dollar Coin Became the Loonie | The Royal Canadian Mint" w:history="1">
        <w:r w:rsidRPr="00324F34">
          <w:rPr>
            <w:rStyle w:val="Hyperlink"/>
          </w:rPr>
          <w:t>https://www.mint.ca/en-us</w:t>
        </w:r>
      </w:hyperlink>
      <w:r w:rsidRPr="00324F34">
        <w:t>)</w:t>
      </w:r>
    </w:p>
    <w:p w14:paraId="2F453BB9" w14:textId="77777777" w:rsidR="00324F34" w:rsidRPr="00324F34" w:rsidRDefault="00324F34" w:rsidP="00324F34">
      <w:pPr>
        <w:numPr>
          <w:ilvl w:val="0"/>
          <w:numId w:val="2"/>
        </w:numPr>
      </w:pPr>
      <w:r w:rsidRPr="00324F34">
        <w:t xml:space="preserve">Wikipedia, </w:t>
      </w:r>
      <w:r w:rsidRPr="00324F34">
        <w:rPr>
          <w:i/>
          <w:iCs/>
        </w:rPr>
        <w:t>Loonie</w:t>
      </w:r>
      <w:r w:rsidRPr="00324F34">
        <w:t>. (</w:t>
      </w:r>
      <w:hyperlink r:id="rId27" w:tooltip="Loonie" w:history="1">
        <w:r w:rsidRPr="00324F34">
          <w:rPr>
            <w:rStyle w:val="Hyperlink"/>
          </w:rPr>
          <w:t>Wikipedia</w:t>
        </w:r>
      </w:hyperlink>
      <w:r w:rsidRPr="00324F34">
        <w:t>)</w:t>
      </w:r>
    </w:p>
    <w:p w14:paraId="0E110472" w14:textId="77777777" w:rsidR="00324F34" w:rsidRPr="00324F34" w:rsidRDefault="00324F34" w:rsidP="00324F34">
      <w:pPr>
        <w:numPr>
          <w:ilvl w:val="0"/>
          <w:numId w:val="2"/>
        </w:numPr>
      </w:pPr>
      <w:r w:rsidRPr="00324F34">
        <w:t xml:space="preserve">Wikipedia, </w:t>
      </w:r>
      <w:r w:rsidRPr="00324F34">
        <w:rPr>
          <w:i/>
          <w:iCs/>
        </w:rPr>
        <w:t>Voyageur dollar</w:t>
      </w:r>
      <w:r w:rsidRPr="00324F34">
        <w:t>. (</w:t>
      </w:r>
      <w:hyperlink r:id="rId28" w:tooltip="Voyageur dollar" w:history="1">
        <w:r w:rsidRPr="00324F34">
          <w:rPr>
            <w:rStyle w:val="Hyperlink"/>
          </w:rPr>
          <w:t>Wikipedia</w:t>
        </w:r>
      </w:hyperlink>
      <w:r w:rsidRPr="00324F34">
        <w:t>)</w:t>
      </w:r>
    </w:p>
    <w:p w14:paraId="3DE453E5" w14:textId="77777777" w:rsidR="00324F34" w:rsidRPr="00324F34" w:rsidRDefault="00324F34" w:rsidP="00324F34">
      <w:pPr>
        <w:numPr>
          <w:ilvl w:val="0"/>
          <w:numId w:val="2"/>
        </w:numPr>
      </w:pPr>
      <w:r w:rsidRPr="00324F34">
        <w:t xml:space="preserve">Wikipedia, </w:t>
      </w:r>
      <w:r w:rsidRPr="00324F34">
        <w:rPr>
          <w:i/>
          <w:iCs/>
        </w:rPr>
        <w:t>Canadian silver dollar</w:t>
      </w:r>
      <w:r w:rsidRPr="00324F34">
        <w:t>. (</w:t>
      </w:r>
      <w:hyperlink r:id="rId29" w:tooltip="Canadian silver dollar" w:history="1">
        <w:r w:rsidRPr="00324F34">
          <w:rPr>
            <w:rStyle w:val="Hyperlink"/>
          </w:rPr>
          <w:t>Wikipedia</w:t>
        </w:r>
      </w:hyperlink>
      <w:r w:rsidRPr="00324F34">
        <w:t>)</w:t>
      </w:r>
    </w:p>
    <w:p w14:paraId="7B7340CB" w14:textId="77777777" w:rsidR="00324F34" w:rsidRPr="00324F34" w:rsidRDefault="00324F34" w:rsidP="00324F34">
      <w:pPr>
        <w:numPr>
          <w:ilvl w:val="0"/>
          <w:numId w:val="2"/>
        </w:numPr>
      </w:pPr>
      <w:r w:rsidRPr="00324F34">
        <w:t xml:space="preserve">The Canadian Encyclopedia, </w:t>
      </w:r>
      <w:r w:rsidRPr="00324F34">
        <w:rPr>
          <w:i/>
          <w:iCs/>
        </w:rPr>
        <w:t>Canadian Dollar (CAD)</w:t>
      </w:r>
      <w:r w:rsidRPr="00324F34">
        <w:t>. (</w:t>
      </w:r>
      <w:hyperlink r:id="rId30" w:tooltip="Canadian Dollar (CAD)" w:history="1">
        <w:r w:rsidRPr="00324F34">
          <w:rPr>
            <w:rStyle w:val="Hyperlink"/>
          </w:rPr>
          <w:t>thecanadianencyclopedia.ca</w:t>
        </w:r>
      </w:hyperlink>
      <w:r w:rsidRPr="00324F34">
        <w:t>)</w:t>
      </w:r>
    </w:p>
    <w:p w14:paraId="4D78D529" w14:textId="77777777" w:rsidR="00973D16" w:rsidRDefault="00973D16"/>
    <w:p w14:paraId="55E2545E" w14:textId="601A3528" w:rsidR="00DB1284" w:rsidRDefault="004D16B4" w:rsidP="004D16B4">
      <w:pPr>
        <w:pBdr>
          <w:top w:val="single" w:sz="4" w:space="1" w:color="auto"/>
          <w:left w:val="single" w:sz="4" w:space="4" w:color="auto"/>
          <w:bottom w:val="single" w:sz="4" w:space="1" w:color="auto"/>
          <w:right w:val="single" w:sz="4" w:space="4" w:color="auto"/>
          <w:between w:val="single" w:sz="4" w:space="1" w:color="auto"/>
          <w:bar w:val="single" w:sz="4" w:color="auto"/>
        </w:pBdr>
      </w:pPr>
      <w:r w:rsidRPr="00D06D6D">
        <w:rPr>
          <w:b/>
          <w:bCs/>
        </w:rPr>
        <w:t xml:space="preserve">Jim </w:t>
      </w:r>
      <w:proofErr w:type="gramStart"/>
      <w:r w:rsidRPr="00D06D6D">
        <w:rPr>
          <w:b/>
          <w:bCs/>
        </w:rPr>
        <w:t xml:space="preserve">Austin </w:t>
      </w:r>
      <w:r w:rsidRPr="00D06D6D">
        <w:t xml:space="preserve"> collect</w:t>
      </w:r>
      <w:r>
        <w:t>s</w:t>
      </w:r>
      <w:proofErr w:type="gramEnd"/>
      <w:r w:rsidRPr="00D06D6D">
        <w:t xml:space="preserve"> coins, paper currency, wood money and tokens. He enjoys writing about Numismatic </w:t>
      </w:r>
      <w:proofErr w:type="gramStart"/>
      <w:r w:rsidRPr="00D06D6D">
        <w:t>topics;</w:t>
      </w:r>
      <w:proofErr w:type="gramEnd"/>
      <w:r w:rsidRPr="00D06D6D">
        <w:t xml:space="preserve"> particularly Canadian</w:t>
      </w:r>
      <w:r>
        <w:t xml:space="preserve"> ones</w:t>
      </w:r>
      <w:r w:rsidRPr="00D06D6D">
        <w:t xml:space="preserve">.  </w:t>
      </w:r>
      <w:r>
        <w:br/>
      </w:r>
      <w:r>
        <w:br/>
      </w:r>
      <w:r w:rsidRPr="00D06D6D">
        <w:t>He is a member of the Ontario Numismatic Assoc., The Canadian Association of Wooden Money Collectors, and is currently president of his local coin club</w:t>
      </w:r>
      <w:proofErr w:type="gramStart"/>
      <w:r w:rsidRPr="00D06D6D">
        <w:t>. .</w:t>
      </w:r>
      <w:proofErr w:type="gramEnd"/>
      <w:r w:rsidRPr="00D06D6D">
        <w:t xml:space="preserve">  Jim owns and operates AustinCoins.ca.</w:t>
      </w:r>
      <w:r>
        <w:br/>
      </w:r>
      <w:r w:rsidRPr="00D06D6D">
        <w:br/>
      </w:r>
      <w:r>
        <w:t>You may</w:t>
      </w:r>
      <w:r w:rsidRPr="00D06D6D">
        <w:t xml:space="preserve"> use this article</w:t>
      </w:r>
      <w:r>
        <w:t xml:space="preserve"> in </w:t>
      </w:r>
      <w:proofErr w:type="spellStart"/>
      <w:r>
        <w:t>it’s</w:t>
      </w:r>
      <w:proofErr w:type="spellEnd"/>
      <w:r>
        <w:t xml:space="preserve"> entirety</w:t>
      </w:r>
      <w:r w:rsidRPr="00D06D6D">
        <w:t xml:space="preserve"> in your blog or newsletter</w:t>
      </w:r>
      <w:r>
        <w:t xml:space="preserve">, </w:t>
      </w:r>
      <w:r w:rsidRPr="00D06D6D">
        <w:t xml:space="preserve"> as long as you include this authors reference box and include a link back to </w:t>
      </w:r>
      <w:hyperlink r:id="rId31" w:history="1">
        <w:r w:rsidRPr="00884215">
          <w:rPr>
            <w:rStyle w:val="Hyperlink"/>
          </w:rPr>
          <w:t>AustinCoins.ca </w:t>
        </w:r>
      </w:hyperlink>
    </w:p>
    <w:sectPr w:rsidR="00DB12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02B9D"/>
    <w:multiLevelType w:val="multilevel"/>
    <w:tmpl w:val="A852D1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122850"/>
    <w:multiLevelType w:val="multilevel"/>
    <w:tmpl w:val="7A0A5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8737C4"/>
    <w:multiLevelType w:val="multilevel"/>
    <w:tmpl w:val="2848C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8364977">
    <w:abstractNumId w:val="0"/>
  </w:num>
  <w:num w:numId="2" w16cid:durableId="1290167581">
    <w:abstractNumId w:val="2"/>
  </w:num>
  <w:num w:numId="3" w16cid:durableId="1504158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F34"/>
    <w:rsid w:val="00124D4C"/>
    <w:rsid w:val="00324F34"/>
    <w:rsid w:val="00391226"/>
    <w:rsid w:val="003F1A0A"/>
    <w:rsid w:val="004A7A22"/>
    <w:rsid w:val="004D16B4"/>
    <w:rsid w:val="00891444"/>
    <w:rsid w:val="00973D16"/>
    <w:rsid w:val="00B37D81"/>
    <w:rsid w:val="00B80037"/>
    <w:rsid w:val="00C116C2"/>
    <w:rsid w:val="00CF2175"/>
    <w:rsid w:val="00DB1284"/>
    <w:rsid w:val="00DC4FD3"/>
    <w:rsid w:val="00DD0163"/>
    <w:rsid w:val="00E1103D"/>
    <w:rsid w:val="00F07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183F9"/>
  <w15:chartTrackingRefBased/>
  <w15:docId w15:val="{F3E54517-E33E-45F9-B222-9D40FF9A1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4F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4F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4F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4F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4F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4F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4F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4F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4F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4F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4F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4F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4F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4F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4F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4F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4F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4F34"/>
    <w:rPr>
      <w:rFonts w:eastAsiaTheme="majorEastAsia" w:cstheme="majorBidi"/>
      <w:color w:val="272727" w:themeColor="text1" w:themeTint="D8"/>
    </w:rPr>
  </w:style>
  <w:style w:type="paragraph" w:styleId="Title">
    <w:name w:val="Title"/>
    <w:basedOn w:val="Normal"/>
    <w:next w:val="Normal"/>
    <w:link w:val="TitleChar"/>
    <w:uiPriority w:val="10"/>
    <w:qFormat/>
    <w:rsid w:val="00324F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4F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4F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4F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4F34"/>
    <w:pPr>
      <w:spacing w:before="160"/>
      <w:jc w:val="center"/>
    </w:pPr>
    <w:rPr>
      <w:i/>
      <w:iCs/>
      <w:color w:val="404040" w:themeColor="text1" w:themeTint="BF"/>
    </w:rPr>
  </w:style>
  <w:style w:type="character" w:customStyle="1" w:styleId="QuoteChar">
    <w:name w:val="Quote Char"/>
    <w:basedOn w:val="DefaultParagraphFont"/>
    <w:link w:val="Quote"/>
    <w:uiPriority w:val="29"/>
    <w:rsid w:val="00324F34"/>
    <w:rPr>
      <w:i/>
      <w:iCs/>
      <w:color w:val="404040" w:themeColor="text1" w:themeTint="BF"/>
    </w:rPr>
  </w:style>
  <w:style w:type="paragraph" w:styleId="ListParagraph">
    <w:name w:val="List Paragraph"/>
    <w:basedOn w:val="Normal"/>
    <w:uiPriority w:val="34"/>
    <w:qFormat/>
    <w:rsid w:val="00324F34"/>
    <w:pPr>
      <w:ind w:left="720"/>
      <w:contextualSpacing/>
    </w:pPr>
  </w:style>
  <w:style w:type="character" w:styleId="IntenseEmphasis">
    <w:name w:val="Intense Emphasis"/>
    <w:basedOn w:val="DefaultParagraphFont"/>
    <w:uiPriority w:val="21"/>
    <w:qFormat/>
    <w:rsid w:val="00324F34"/>
    <w:rPr>
      <w:i/>
      <w:iCs/>
      <w:color w:val="0F4761" w:themeColor="accent1" w:themeShade="BF"/>
    </w:rPr>
  </w:style>
  <w:style w:type="paragraph" w:styleId="IntenseQuote">
    <w:name w:val="Intense Quote"/>
    <w:basedOn w:val="Normal"/>
    <w:next w:val="Normal"/>
    <w:link w:val="IntenseQuoteChar"/>
    <w:uiPriority w:val="30"/>
    <w:qFormat/>
    <w:rsid w:val="00324F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4F34"/>
    <w:rPr>
      <w:i/>
      <w:iCs/>
      <w:color w:val="0F4761" w:themeColor="accent1" w:themeShade="BF"/>
    </w:rPr>
  </w:style>
  <w:style w:type="character" w:styleId="IntenseReference">
    <w:name w:val="Intense Reference"/>
    <w:basedOn w:val="DefaultParagraphFont"/>
    <w:uiPriority w:val="32"/>
    <w:qFormat/>
    <w:rsid w:val="00324F34"/>
    <w:rPr>
      <w:b/>
      <w:bCs/>
      <w:smallCaps/>
      <w:color w:val="0F4761" w:themeColor="accent1" w:themeShade="BF"/>
      <w:spacing w:val="5"/>
    </w:rPr>
  </w:style>
  <w:style w:type="character" w:styleId="Hyperlink">
    <w:name w:val="Hyperlink"/>
    <w:basedOn w:val="DefaultParagraphFont"/>
    <w:uiPriority w:val="99"/>
    <w:unhideWhenUsed/>
    <w:rsid w:val="00324F34"/>
    <w:rPr>
      <w:color w:val="467886" w:themeColor="hyperlink"/>
      <w:u w:val="single"/>
    </w:rPr>
  </w:style>
  <w:style w:type="character" w:styleId="UnresolvedMention">
    <w:name w:val="Unresolved Mention"/>
    <w:basedOn w:val="DefaultParagraphFont"/>
    <w:uiPriority w:val="99"/>
    <w:semiHidden/>
    <w:unhideWhenUsed/>
    <w:rsid w:val="00324F34"/>
    <w:rPr>
      <w:color w:val="605E5C"/>
      <w:shd w:val="clear" w:color="auto" w:fill="E1DFDD"/>
    </w:rPr>
  </w:style>
  <w:style w:type="character" w:styleId="FollowedHyperlink">
    <w:name w:val="FollowedHyperlink"/>
    <w:basedOn w:val="DefaultParagraphFont"/>
    <w:uiPriority w:val="99"/>
    <w:semiHidden/>
    <w:unhideWhenUsed/>
    <w:rsid w:val="0039122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int.ca/en/discover/canadian-circulation/1-dollar?utm_source=chatgpt.com" TargetMode="External"/><Relationship Id="rId18" Type="http://schemas.openxmlformats.org/officeDocument/2006/relationships/hyperlink" Target="https://www.mint.ca/en/blog/2022-07-a-tale-of-two-designs-loonie?utm_source=chatgpt.com" TargetMode="External"/><Relationship Id="rId26" Type="http://schemas.openxmlformats.org/officeDocument/2006/relationships/hyperlink" Target="https://www.mint.ca/en/blog/2022-07-a-tale-of-two-designs-loonie?utm_source=chatgpt.com" TargetMode="External"/><Relationship Id="rId3" Type="http://schemas.openxmlformats.org/officeDocument/2006/relationships/settings" Target="settings.xml"/><Relationship Id="rId21" Type="http://schemas.openxmlformats.org/officeDocument/2006/relationships/hyperlink" Target="https://www.mint.ca/en/discover/canadian-circulation/1-dollar?utm_source=chatgpt.com" TargetMode="External"/><Relationship Id="rId7" Type="http://schemas.openxmlformats.org/officeDocument/2006/relationships/hyperlink" Target="https://www.bankofcanadamuseum.ca/2021/11/the-1911-silver-dollar/?utm_source=chatgpt.com" TargetMode="External"/><Relationship Id="rId12" Type="http://schemas.openxmlformats.org/officeDocument/2006/relationships/hyperlink" Target="https://en.wikipedia.org/wiki/Canadian_silver_dollar?utm_source=chatgpt.com" TargetMode="External"/><Relationship Id="rId17" Type="http://schemas.openxmlformats.org/officeDocument/2006/relationships/hyperlink" Target="https://www.mint.ca/en/discover/canadian-circulation/1-dollar?utm_source=chatgpt.com" TargetMode="External"/><Relationship Id="rId25" Type="http://schemas.openxmlformats.org/officeDocument/2006/relationships/hyperlink" Target="https://www.bankofcanadamuseum.ca/2021/11/the-1911-silver-dollar/?utm_source=chatgpt.com"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hyperlink" Target="https://www.rcinet.ca/en/2016/06/30/history-june-301987-introducing-the-loonie/?utm_source=chatgpt.com" TargetMode="External"/><Relationship Id="rId29" Type="http://schemas.openxmlformats.org/officeDocument/2006/relationships/hyperlink" Target="https://en.wikipedia.org/wiki/Canadian_silver_dollar?utm_source=chatgpt.com" TargetMode="External"/><Relationship Id="rId1" Type="http://schemas.openxmlformats.org/officeDocument/2006/relationships/numbering" Target="numbering.xml"/><Relationship Id="rId6" Type="http://schemas.openxmlformats.org/officeDocument/2006/relationships/hyperlink" Target="https://www.bankofcanadamuseum.ca/2021/11/the-1911-silver-dollar/?utm_source=chatgpt.com" TargetMode="External"/><Relationship Id="rId11" Type="http://schemas.openxmlformats.org/officeDocument/2006/relationships/hyperlink" Target="https://en.wikipedia.org/wiki/Canadian_silver_dollar?utm_source=chatgpt.com" TargetMode="External"/><Relationship Id="rId24" Type="http://schemas.openxmlformats.org/officeDocument/2006/relationships/hyperlink" Target="https://www.mint.ca/en/discover/canadian-circulation/1-dollar?utm_source=chatgpt.com" TargetMode="External"/><Relationship Id="rId32"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www.mint.ca/en/blog/2022-07-a-tale-of-two-designs-loonie?srsltid=AfmBOorDvXuu14X5nVnm-DdEmOa_oJ9cabXglAa5VfskbpRNCPunp85k&amp;utm_source=chatgpt.com" TargetMode="External"/><Relationship Id="rId23" Type="http://schemas.openxmlformats.org/officeDocument/2006/relationships/hyperlink" Target="https://www.mint.ca/en/blog/2022-07-a-tale-of-two-designs-loonie?srsltid=AfmBOorDvXuu14X5nVnm-DdEmOa_oJ9cabXglAa5VfskbpRNCPunp85k&amp;utm_source=chatgpt.com" TargetMode="External"/><Relationship Id="rId28" Type="http://schemas.openxmlformats.org/officeDocument/2006/relationships/hyperlink" Target="https://en.wikipedia.org/wiki/Voyageur_dollar?utm_source=chatgpt.com" TargetMode="External"/><Relationship Id="rId10" Type="http://schemas.openxmlformats.org/officeDocument/2006/relationships/image" Target="media/image2.jpeg"/><Relationship Id="rId19" Type="http://schemas.openxmlformats.org/officeDocument/2006/relationships/hyperlink" Target="https://en.wikipedia.org/wiki/Loonie?utm_source=chatgpt.com" TargetMode="External"/><Relationship Id="rId31" Type="http://schemas.openxmlformats.org/officeDocument/2006/relationships/hyperlink" Target="https://austincoins.ca/" TargetMode="External"/><Relationship Id="rId4" Type="http://schemas.openxmlformats.org/officeDocument/2006/relationships/webSettings" Target="webSettings.xml"/><Relationship Id="rId9" Type="http://schemas.openxmlformats.org/officeDocument/2006/relationships/hyperlink" Target="https://www.bankofcanadamuseum.ca/2021/11/the-1911-silver-dollar/?utm_source=chatgpt.com" TargetMode="External"/><Relationship Id="rId14" Type="http://schemas.openxmlformats.org/officeDocument/2006/relationships/hyperlink" Target="https://en.wikipedia.org/wiki/Voyageur_dollar?utm_source=chatgpt.com" TargetMode="External"/><Relationship Id="rId22" Type="http://schemas.openxmlformats.org/officeDocument/2006/relationships/hyperlink" Target="https://www.mint.ca/en/blog/2022-07-a-tale-of-two-designs-loonie?utm_source=chatgpt.com" TargetMode="External"/><Relationship Id="rId27" Type="http://schemas.openxmlformats.org/officeDocument/2006/relationships/hyperlink" Target="https://en.wikipedia.org/wiki/Loonie?utm_source=chatgpt.com" TargetMode="External"/><Relationship Id="rId30" Type="http://schemas.openxmlformats.org/officeDocument/2006/relationships/hyperlink" Target="https://thecanadianencyclopedia.ca/en/article/dollar?utm_source=chatgpt.com" TargetMode="External"/><Relationship Id="rId8" Type="http://schemas.openxmlformats.org/officeDocument/2006/relationships/hyperlink" Target="https://www.bankofcanadamuseum.ca/2021/11/the-1911-silver-dollar/?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6</Pages>
  <Words>1717</Words>
  <Characters>10065</Characters>
  <Application>Microsoft Office Word</Application>
  <DocSecurity>0</DocSecurity>
  <Lines>359</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Austin</dc:creator>
  <cp:keywords/>
  <dc:description/>
  <cp:lastModifiedBy>Jim Austin</cp:lastModifiedBy>
  <cp:revision>5</cp:revision>
  <dcterms:created xsi:type="dcterms:W3CDTF">2026-02-04T21:11:00Z</dcterms:created>
  <dcterms:modified xsi:type="dcterms:W3CDTF">2026-02-04T21:57:00Z</dcterms:modified>
</cp:coreProperties>
</file>